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D9A" w14:textId="5C00BBDD" w:rsidR="005A5FC2" w:rsidRDefault="00D43C79" w:rsidP="005A5FC2">
      <w:pPr>
        <w:spacing w:after="100" w:afterAutospacing="1" w:line="240" w:lineRule="auto"/>
        <w:jc w:val="both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Misura</w:t>
      </w:r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a favore degli anziani non autosufficienti ad alto bisogno assistenziale e delle persone in condizione di disabilità gravissima (Misura</w:t>
      </w: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B1</w:t>
      </w:r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)</w:t>
      </w: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</w:t>
      </w:r>
    </w:p>
    <w:p w14:paraId="2FC13936" w14:textId="0A36E8E9" w:rsidR="00D43C79" w:rsidRDefault="00D43C79" w:rsidP="00D43C79">
      <w:pPr>
        <w:spacing w:after="100" w:afterAutospacing="1" w:line="240" w:lineRule="auto"/>
        <w:jc w:val="center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Deliberazione </w:t>
      </w:r>
      <w:proofErr w:type="spellStart"/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n°</w:t>
      </w: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XI</w:t>
      </w:r>
      <w:r w:rsidR="00D258A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I</w:t>
      </w:r>
      <w:proofErr w:type="spellEnd"/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/</w:t>
      </w:r>
      <w:r w:rsidR="00D258A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1669</w:t>
      </w: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del 2</w:t>
      </w:r>
      <w:r w:rsidR="00EA7E1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8</w:t>
      </w:r>
      <w:r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/12/202</w:t>
      </w:r>
      <w:r w:rsidR="00D258A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3</w:t>
      </w:r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 e Deliberazione </w:t>
      </w:r>
      <w:proofErr w:type="spellStart"/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n°XII</w:t>
      </w:r>
      <w:proofErr w:type="spellEnd"/>
      <w:r w:rsidR="005A5FC2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/2033 del 18/03/2024</w:t>
      </w:r>
    </w:p>
    <w:p w14:paraId="394513F2" w14:textId="048409C4" w:rsidR="001930FF" w:rsidRPr="00E72166" w:rsidRDefault="001930FF" w:rsidP="001930FF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A seguito della 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D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eliberazione della Giunta Regionale n.</w:t>
      </w:r>
      <w:r w:rsidR="00D258A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XI</w:t>
      </w:r>
      <w:r w:rsidR="00D258A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I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/</w:t>
      </w:r>
      <w:r w:rsidR="00D258A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1669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/202</w:t>
      </w:r>
      <w:r w:rsidR="00D258A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3</w:t>
      </w:r>
      <w:r w:rsidR="005A5FC2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e della Deliberazione n.</w:t>
      </w:r>
      <w:r w:rsidR="00F41ABA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="005A5FC2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XII</w:t>
      </w:r>
      <w:r w:rsidR="00F41ABA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/ 2033</w:t>
      </w:r>
      <w:r w:rsidR="005A5FC2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del 18/03/2024</w:t>
      </w:r>
      <w:r w:rsidR="00D43C79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anche per l’anno 202</w:t>
      </w:r>
      <w:r w:rsidR="00D258A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4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è</w:t>
      </w: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 prevista la Misura B1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per la promozione del benessere e della qualità di vita dell</w:t>
      </w:r>
      <w:r w:rsidR="005A5FC2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e persone anziane non autosufficienti ad alto </w:t>
      </w:r>
      <w:proofErr w:type="gramStart"/>
      <w:r w:rsidR="005A5FC2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bisogno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persona</w:t>
      </w:r>
      <w:proofErr w:type="gramEnd"/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in condizione di gravissima disabilità, assistita al proprio domicilio in un contesto più ampio di inclusione sociale</w:t>
      </w:r>
      <w:r w:rsidR="006C4C22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.</w:t>
      </w:r>
    </w:p>
    <w:p w14:paraId="53C8A080" w14:textId="050E2D99" w:rsidR="00EE5719" w:rsidRPr="00E72166" w:rsidRDefault="00EE5719" w:rsidP="001930FF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La Misura si concretizza nell’erogazione 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di un </w:t>
      </w:r>
      <w:r w:rsidR="00FC2711" w:rsidRPr="00FC2711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buono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di natura economica al </w:t>
      </w:r>
      <w:r w:rsidR="00FC2711" w:rsidRPr="00FC2711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caregiver familiare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se </w:t>
      </w:r>
      <w:r w:rsidR="00FC2711" w:rsidRPr="00FC2711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inserito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nel Progetto di Vita Individuale Personalizzato e Partecipato e se </w:t>
      </w:r>
      <w:r w:rsidR="00FC2711" w:rsidRPr="00FC2711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coinvolto attivamente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nell’attuazione dei piani di assistenza</w:t>
      </w:r>
      <w:r w:rsidR="00EF5F5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, tenuto conto delle risorse disponibili.</w:t>
      </w:r>
    </w:p>
    <w:p w14:paraId="6AB60788" w14:textId="58775821" w:rsidR="00D648A3" w:rsidRDefault="00251400" w:rsidP="00D648A3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In capo alla ASST si conferma l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a Valutazione Multidimensionale della persona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al fine di 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rileva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re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il profilo funzionale, le caratteristiche del contesto socio ambientale, i bisogni, le aspettative e le risorse.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Tale Valutazione risulta</w:t>
      </w:r>
      <w:r w:rsidR="00440027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propedeutica alla definizione del Progetto </w:t>
      </w:r>
      <w:r w:rsidR="00440027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di Vita 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Individual</w:t>
      </w:r>
      <w:r w:rsidR="00440027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e Personalizzato e </w:t>
      </w:r>
      <w:r w:rsidR="00D648A3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Partecipato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.</w:t>
      </w:r>
    </w:p>
    <w:p w14:paraId="757CBF1B" w14:textId="77777777" w:rsidR="00F41ABA" w:rsidRDefault="00F41ABA" w:rsidP="00D648A3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</w:p>
    <w:p w14:paraId="2377D77F" w14:textId="77777777" w:rsidR="004B624F" w:rsidRPr="00E72166" w:rsidRDefault="004B624F" w:rsidP="004B624F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DESTINATARI della MISURA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– ELENCO DEI REQUISITI DI ACCESSO</w:t>
      </w:r>
    </w:p>
    <w:p w14:paraId="4792E84C" w14:textId="77777777" w:rsidR="004B624F" w:rsidRPr="00E72166" w:rsidRDefault="004B624F" w:rsidP="004B624F">
      <w:pPr>
        <w:pStyle w:val="Paragrafoelenco"/>
        <w:numPr>
          <w:ilvl w:val="0"/>
          <w:numId w:val="13"/>
        </w:numPr>
        <w:spacing w:after="100" w:afterAutospacing="1" w:line="360" w:lineRule="auto"/>
        <w:ind w:left="714" w:hanging="357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Persona assistita a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domicilio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di qualsiasi età</w:t>
      </w:r>
    </w:p>
    <w:p w14:paraId="69E6782F" w14:textId="77777777" w:rsidR="004B624F" w:rsidRPr="00E72166" w:rsidRDefault="004B624F" w:rsidP="004B624F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Persona residente in Regione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Lombardia</w:t>
      </w:r>
    </w:p>
    <w:p w14:paraId="499D9557" w14:textId="77777777" w:rsidR="004B624F" w:rsidRPr="00E72166" w:rsidRDefault="004B624F" w:rsidP="004B624F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bookmarkStart w:id="0" w:name="_Hlk155349343"/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Persona con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ISEE socio sanitario fino a </w:t>
      </w:r>
      <w:r w:rsidRPr="00A0586B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€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50.000,00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(per beneficiari adulti o anziani) o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ISEE ordinario fino a </w:t>
      </w:r>
      <w:r w:rsidRPr="00A0586B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€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65.000,00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(per beneficiari minorenni)</w:t>
      </w:r>
    </w:p>
    <w:bookmarkEnd w:id="0"/>
    <w:p w14:paraId="3D770485" w14:textId="77777777" w:rsidR="004B624F" w:rsidRPr="00E72166" w:rsidRDefault="004B624F" w:rsidP="004B624F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Persona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in condizione di </w:t>
      </w:r>
      <w:r w:rsidRPr="00A0586B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gravissima disabilità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beneficiaria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dell’indennità di accompagnamento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di cui alla </w:t>
      </w:r>
      <w:r w:rsidRPr="00A0586B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L. 18/1980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e successive modifiche/integrazioni con legge 508/1988 </w:t>
      </w:r>
      <w:r w:rsidRPr="00A31493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oppure definita non autosufficiente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ai sensi del </w:t>
      </w:r>
      <w:r w:rsidRPr="00A0586B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DPCM 159/2013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Allegato 3 e a cui è riconosciuta la rispettiva indennità</w:t>
      </w:r>
    </w:p>
    <w:p w14:paraId="19F53AF6" w14:textId="77777777" w:rsidR="004B624F" w:rsidRPr="00E72166" w:rsidRDefault="004B624F" w:rsidP="004B624F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P</w:t>
      </w:r>
      <w:r w:rsidRPr="00A0586B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resenza di una delle condizioni sotto riportate, certificate da Medico Specialista, secondo i criteri previsti dalla normativa e dettagliati nella domanda di accesso</w:t>
      </w: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: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</w:p>
    <w:p w14:paraId="6FE39E45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A.</w:t>
      </w:r>
      <w:r w:rsidRPr="00E72166">
        <w:rPr>
          <w:rFonts w:ascii="Century Gothic" w:hAnsi="Century Gothic" w:cs="Arial"/>
          <w:sz w:val="20"/>
          <w:szCs w:val="20"/>
        </w:rPr>
        <w:t xml:space="preserve"> persone in </w:t>
      </w:r>
      <w:r w:rsidRPr="00E72166">
        <w:rPr>
          <w:rFonts w:ascii="Century Gothic" w:hAnsi="Century Gothic" w:cs="Arial"/>
          <w:b/>
          <w:sz w:val="20"/>
          <w:szCs w:val="20"/>
        </w:rPr>
        <w:t>condizione di coma, Stato Vegetativo (SV) oppure di Stato di Minima</w:t>
      </w:r>
      <w:r w:rsidRPr="00E72166">
        <w:rPr>
          <w:rFonts w:ascii="Century Gothic" w:hAnsi="Century Gothic" w:cs="Arial"/>
          <w:sz w:val="20"/>
          <w:szCs w:val="20"/>
        </w:rPr>
        <w:t xml:space="preserve"> Coscienza (SMC) e con punteggio nella scala Glasgow Coma Scale (GCS) ≤ 10;</w:t>
      </w:r>
    </w:p>
    <w:p w14:paraId="0A3BB208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B.</w:t>
      </w:r>
      <w:r w:rsidRPr="00E72166">
        <w:rPr>
          <w:rFonts w:ascii="Century Gothic" w:hAnsi="Century Gothic" w:cs="Arial"/>
          <w:sz w:val="20"/>
          <w:szCs w:val="20"/>
        </w:rPr>
        <w:t xml:space="preserve"> persone </w:t>
      </w:r>
      <w:r w:rsidRPr="00E72166">
        <w:rPr>
          <w:rFonts w:ascii="Century Gothic" w:hAnsi="Century Gothic" w:cs="Arial"/>
          <w:b/>
          <w:sz w:val="20"/>
          <w:szCs w:val="20"/>
        </w:rPr>
        <w:t>dipendenti da ventilazione meccanica assistita</w:t>
      </w:r>
      <w:r w:rsidRPr="00E72166">
        <w:rPr>
          <w:rFonts w:ascii="Century Gothic" w:hAnsi="Century Gothic" w:cs="Arial"/>
          <w:sz w:val="20"/>
          <w:szCs w:val="20"/>
        </w:rPr>
        <w:t xml:space="preserve"> o non invasiva continuativa (24 ore 7 giorni su 7);</w:t>
      </w:r>
    </w:p>
    <w:p w14:paraId="2F29A537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C.</w:t>
      </w:r>
      <w:r w:rsidRPr="00E72166">
        <w:rPr>
          <w:rFonts w:ascii="Century Gothic" w:hAnsi="Century Gothic" w:cs="Arial"/>
          <w:sz w:val="20"/>
          <w:szCs w:val="20"/>
        </w:rPr>
        <w:t xml:space="preserve"> persone con </w:t>
      </w:r>
      <w:r w:rsidRPr="00E72166">
        <w:rPr>
          <w:rFonts w:ascii="Century Gothic" w:hAnsi="Century Gothic" w:cs="Arial"/>
          <w:b/>
          <w:sz w:val="20"/>
          <w:szCs w:val="20"/>
        </w:rPr>
        <w:t>grave o gravissimo stato di demenza</w:t>
      </w:r>
      <w:r w:rsidRPr="00E72166">
        <w:rPr>
          <w:rFonts w:ascii="Century Gothic" w:hAnsi="Century Gothic" w:cs="Arial"/>
          <w:sz w:val="20"/>
          <w:szCs w:val="20"/>
        </w:rPr>
        <w:t xml:space="preserve"> con un punteggio sulla scala Clinical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Dementia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Rating Scale (CDRS) ≥ 4;</w:t>
      </w:r>
    </w:p>
    <w:p w14:paraId="6BB3ED52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D.</w:t>
      </w:r>
      <w:r w:rsidRPr="00E72166">
        <w:rPr>
          <w:rFonts w:ascii="Century Gothic" w:hAnsi="Century Gothic" w:cs="Arial"/>
          <w:sz w:val="20"/>
          <w:szCs w:val="20"/>
        </w:rPr>
        <w:t xml:space="preserve"> persone con </w:t>
      </w:r>
      <w:r w:rsidRPr="00E72166">
        <w:rPr>
          <w:rFonts w:ascii="Century Gothic" w:hAnsi="Century Gothic" w:cs="Arial"/>
          <w:b/>
          <w:sz w:val="20"/>
          <w:szCs w:val="20"/>
        </w:rPr>
        <w:t>lesioni spinali fra C0/C5, di qualsiasi natura</w:t>
      </w:r>
      <w:r w:rsidRPr="00E72166">
        <w:rPr>
          <w:rFonts w:ascii="Century Gothic" w:hAnsi="Century Gothic" w:cs="Arial"/>
          <w:sz w:val="20"/>
          <w:szCs w:val="20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70A4416C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E.</w:t>
      </w:r>
      <w:r w:rsidRPr="00E72166">
        <w:rPr>
          <w:rFonts w:ascii="Century Gothic" w:hAnsi="Century Gothic" w:cs="Arial"/>
          <w:sz w:val="20"/>
          <w:szCs w:val="20"/>
        </w:rPr>
        <w:t xml:space="preserve"> persone con </w:t>
      </w:r>
      <w:r w:rsidRPr="00E72166">
        <w:rPr>
          <w:rFonts w:ascii="Century Gothic" w:hAnsi="Century Gothic" w:cs="Arial"/>
          <w:b/>
          <w:sz w:val="20"/>
          <w:szCs w:val="20"/>
        </w:rPr>
        <w:t>gravissima compromissione motoria da patologia neurologica o muscolare</w:t>
      </w:r>
      <w:r w:rsidRPr="00E72166">
        <w:rPr>
          <w:rFonts w:ascii="Century Gothic" w:hAnsi="Century Gothic" w:cs="Arial"/>
          <w:sz w:val="20"/>
          <w:szCs w:val="20"/>
        </w:rPr>
        <w:t xml:space="preserve">, valutate con la scala, tra le seguenti, appropriata in relazione alla patologia: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Medical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Research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Council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(MRC) con bilancio muscolare complessivo </w:t>
      </w:r>
      <w:bookmarkStart w:id="1" w:name="_Hlk124415226"/>
      <w:r w:rsidRPr="00E72166">
        <w:rPr>
          <w:rFonts w:ascii="Century Gothic" w:hAnsi="Century Gothic" w:cs="Arial"/>
          <w:sz w:val="20"/>
          <w:szCs w:val="20"/>
        </w:rPr>
        <w:t>≤</w:t>
      </w:r>
      <w:bookmarkEnd w:id="1"/>
      <w:r w:rsidRPr="00E72166">
        <w:rPr>
          <w:rFonts w:ascii="Century Gothic" w:hAnsi="Century Gothic" w:cs="Arial"/>
          <w:sz w:val="20"/>
          <w:szCs w:val="20"/>
        </w:rPr>
        <w:t xml:space="preserve"> 1 ai 4 arti,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Expanded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Disability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Status Scale (EDSS) con punteggio ≥ 9,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Hoehn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Yahr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mod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in stadio 5;</w:t>
      </w:r>
    </w:p>
    <w:p w14:paraId="686EB5F5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lastRenderedPageBreak/>
        <w:t>F.</w:t>
      </w:r>
      <w:r w:rsidRPr="00E72166">
        <w:rPr>
          <w:rFonts w:ascii="Century Gothic" w:hAnsi="Century Gothic" w:cs="Arial"/>
          <w:sz w:val="20"/>
          <w:szCs w:val="20"/>
        </w:rPr>
        <w:t xml:space="preserve"> persone con </w:t>
      </w:r>
      <w:r w:rsidRPr="00E72166">
        <w:rPr>
          <w:rFonts w:ascii="Century Gothic" w:hAnsi="Century Gothic" w:cs="Arial"/>
          <w:b/>
          <w:sz w:val="20"/>
          <w:szCs w:val="20"/>
        </w:rPr>
        <w:t>deprivazione sensoriale complessa</w:t>
      </w:r>
      <w:r w:rsidRPr="00E72166">
        <w:rPr>
          <w:rFonts w:ascii="Century Gothic" w:hAnsi="Century Gothic" w:cs="Arial"/>
          <w:sz w:val="20"/>
          <w:szCs w:val="20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7A475D3B" w14:textId="77777777" w:rsidR="004B624F" w:rsidRPr="00285FEC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G.</w:t>
      </w:r>
      <w:r w:rsidRPr="00E72166">
        <w:rPr>
          <w:rFonts w:ascii="Century Gothic" w:hAnsi="Century Gothic" w:cs="Arial"/>
          <w:sz w:val="20"/>
          <w:szCs w:val="20"/>
        </w:rPr>
        <w:t xml:space="preserve"> persone </w:t>
      </w:r>
      <w:r w:rsidRPr="00E72166">
        <w:rPr>
          <w:rFonts w:ascii="Century Gothic" w:hAnsi="Century Gothic" w:cs="Arial"/>
          <w:b/>
          <w:sz w:val="20"/>
          <w:szCs w:val="20"/>
        </w:rPr>
        <w:t>con gravissima disabilità comportamentale dello spettro autistico</w:t>
      </w:r>
      <w:r w:rsidRPr="00E72166">
        <w:rPr>
          <w:rFonts w:ascii="Century Gothic" w:hAnsi="Century Gothic" w:cs="Arial"/>
          <w:sz w:val="20"/>
          <w:szCs w:val="20"/>
        </w:rPr>
        <w:t xml:space="preserve"> ascritta al </w:t>
      </w:r>
      <w:bookmarkStart w:id="2" w:name="_Hlk155345353"/>
      <w:r w:rsidRPr="00E72166">
        <w:rPr>
          <w:rFonts w:ascii="Century Gothic" w:hAnsi="Century Gothic" w:cs="Arial"/>
          <w:sz w:val="20"/>
          <w:szCs w:val="20"/>
        </w:rPr>
        <w:t>livello 3 della classificazione del DSM-5</w:t>
      </w:r>
      <w:bookmarkEnd w:id="2"/>
      <w:r>
        <w:rPr>
          <w:rFonts w:ascii="Century Gothic" w:hAnsi="Century Gothic" w:cs="Arial"/>
          <w:sz w:val="20"/>
          <w:szCs w:val="20"/>
        </w:rPr>
        <w:t>;</w:t>
      </w:r>
    </w:p>
    <w:p w14:paraId="1ED0897C" w14:textId="77777777" w:rsidR="004B624F" w:rsidRPr="00E72166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>H.</w:t>
      </w:r>
      <w:r w:rsidRPr="00E72166">
        <w:rPr>
          <w:rFonts w:ascii="Century Gothic" w:hAnsi="Century Gothic" w:cs="Arial"/>
          <w:sz w:val="20"/>
          <w:szCs w:val="20"/>
        </w:rPr>
        <w:t xml:space="preserve"> persone con </w:t>
      </w:r>
      <w:r w:rsidRPr="00E72166">
        <w:rPr>
          <w:rFonts w:ascii="Century Gothic" w:hAnsi="Century Gothic" w:cs="Arial"/>
          <w:b/>
          <w:sz w:val="20"/>
          <w:szCs w:val="20"/>
        </w:rPr>
        <w:t>diagnosi di Ritardo Mentale Grave o Profondo</w:t>
      </w:r>
      <w:r w:rsidRPr="00E72166">
        <w:rPr>
          <w:rFonts w:ascii="Century Gothic" w:hAnsi="Century Gothic" w:cs="Arial"/>
          <w:sz w:val="20"/>
          <w:szCs w:val="20"/>
        </w:rPr>
        <w:t xml:space="preserve"> secondo classificazione DSM-5, con QI ≤ 34 e con punteggio sulla scala Level of Activity in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Profound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/Severe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Mental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72166">
        <w:rPr>
          <w:rFonts w:ascii="Century Gothic" w:hAnsi="Century Gothic" w:cs="Arial"/>
          <w:sz w:val="20"/>
          <w:szCs w:val="20"/>
        </w:rPr>
        <w:t>Retardation</w:t>
      </w:r>
      <w:proofErr w:type="spellEnd"/>
      <w:r w:rsidRPr="00E72166">
        <w:rPr>
          <w:rFonts w:ascii="Century Gothic" w:hAnsi="Century Gothic" w:cs="Arial"/>
          <w:sz w:val="20"/>
          <w:szCs w:val="20"/>
        </w:rPr>
        <w:t xml:space="preserve"> (LAPMER) ≤ 8</w:t>
      </w:r>
      <w:r>
        <w:rPr>
          <w:rFonts w:ascii="Century Gothic" w:hAnsi="Century Gothic" w:cs="Arial"/>
          <w:sz w:val="20"/>
          <w:szCs w:val="20"/>
        </w:rPr>
        <w:t>;</w:t>
      </w:r>
    </w:p>
    <w:p w14:paraId="41372700" w14:textId="77777777" w:rsidR="004B624F" w:rsidRDefault="004B624F" w:rsidP="004B624F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72166">
        <w:rPr>
          <w:rFonts w:ascii="Century Gothic" w:hAnsi="Century Gothic" w:cs="Arial"/>
          <w:b/>
          <w:sz w:val="20"/>
          <w:szCs w:val="20"/>
        </w:rPr>
        <w:t xml:space="preserve">I. </w:t>
      </w:r>
      <w:r w:rsidRPr="00E72166">
        <w:rPr>
          <w:rFonts w:ascii="Century Gothic" w:hAnsi="Century Gothic" w:cs="Arial"/>
          <w:sz w:val="20"/>
          <w:szCs w:val="20"/>
        </w:rPr>
        <w:t xml:space="preserve">ogni altra persona </w:t>
      </w:r>
      <w:r w:rsidRPr="00E72166">
        <w:rPr>
          <w:rFonts w:ascii="Century Gothic" w:hAnsi="Century Gothic" w:cs="Arial"/>
          <w:b/>
          <w:sz w:val="20"/>
          <w:szCs w:val="20"/>
        </w:rPr>
        <w:t>in condizione di dipendenza vitale</w:t>
      </w:r>
      <w:r w:rsidRPr="00E72166">
        <w:rPr>
          <w:rFonts w:ascii="Century Gothic" w:hAnsi="Century Gothic" w:cs="Arial"/>
          <w:sz w:val="20"/>
          <w:szCs w:val="20"/>
        </w:rPr>
        <w:t xml:space="preserve"> che necessiti di assistenza continuativa e monitoraggio nelle 24 ore, 7 giorni su 7, per bisogni complessi derivanti dalle gravi condizioni psicofisiche. </w:t>
      </w:r>
    </w:p>
    <w:p w14:paraId="7BDFF361" w14:textId="77777777" w:rsidR="004B624F" w:rsidRDefault="004B624F" w:rsidP="004B624F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988BBE9" w14:textId="77777777" w:rsidR="004B624F" w:rsidRDefault="004B624F" w:rsidP="004B624F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Si precisa che:</w:t>
      </w:r>
    </w:p>
    <w:p w14:paraId="6D9DB43B" w14:textId="77777777" w:rsidR="004B624F" w:rsidRDefault="004B624F" w:rsidP="004B624F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6182C6D" w14:textId="77777777" w:rsidR="004B624F" w:rsidRPr="002E51AB" w:rsidRDefault="004B624F" w:rsidP="004B62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E51AB">
        <w:rPr>
          <w:rFonts w:ascii="Century Gothic" w:hAnsi="Century Gothic" w:cs="Arial"/>
          <w:sz w:val="20"/>
          <w:szCs w:val="20"/>
        </w:rPr>
        <w:t xml:space="preserve">le persone classificate all’interno della categoria G </w:t>
      </w:r>
      <w:r w:rsidRPr="000F0894">
        <w:rPr>
          <w:rFonts w:ascii="Century Gothic" w:hAnsi="Century Gothic" w:cs="Arial"/>
          <w:b/>
          <w:bCs/>
          <w:sz w:val="20"/>
          <w:szCs w:val="20"/>
        </w:rPr>
        <w:t>oltre</w:t>
      </w:r>
      <w:r w:rsidRPr="002E51AB">
        <w:rPr>
          <w:rFonts w:ascii="Century Gothic" w:hAnsi="Century Gothic" w:cs="Arial"/>
          <w:sz w:val="20"/>
          <w:szCs w:val="20"/>
        </w:rPr>
        <w:t xml:space="preserve"> alla certificazione di Livello 3 della classificazione del DSM-5 devono </w:t>
      </w:r>
      <w:r>
        <w:rPr>
          <w:rFonts w:ascii="Century Gothic" w:hAnsi="Century Gothic" w:cs="Arial"/>
          <w:sz w:val="20"/>
          <w:szCs w:val="20"/>
        </w:rPr>
        <w:t>contemporaneamente presentare:</w:t>
      </w:r>
    </w:p>
    <w:p w14:paraId="786D2823" w14:textId="77777777" w:rsidR="004B624F" w:rsidRPr="002E51AB" w:rsidRDefault="004B624F" w:rsidP="004B624F">
      <w:pPr>
        <w:pStyle w:val="Paragrafoelenco"/>
        <w:numPr>
          <w:ilvl w:val="2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E51AB">
        <w:rPr>
          <w:rFonts w:ascii="Century Gothic" w:hAnsi="Century Gothic" w:cs="Arial"/>
          <w:b/>
          <w:bCs/>
          <w:sz w:val="20"/>
          <w:szCs w:val="20"/>
        </w:rPr>
        <w:t>gravi deficit nella comunicazione sociale</w:t>
      </w:r>
      <w:r w:rsidRPr="002E51AB">
        <w:rPr>
          <w:rFonts w:ascii="Century Gothic" w:hAnsi="Century Gothic" w:cs="Arial"/>
          <w:sz w:val="20"/>
          <w:szCs w:val="20"/>
        </w:rPr>
        <w:t xml:space="preserve"> (verbale e non verbale) che causano una grave difficoltà nel funzionamento, con iniziativa molto limitata nell’interazione sociale e minima risposta all’iniziativa altrui;</w:t>
      </w:r>
    </w:p>
    <w:p w14:paraId="0EA9BF0E" w14:textId="77777777" w:rsidR="004B624F" w:rsidRDefault="004B624F" w:rsidP="004B624F">
      <w:pPr>
        <w:pStyle w:val="Paragrafoelenco"/>
        <w:numPr>
          <w:ilvl w:val="2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E51AB">
        <w:rPr>
          <w:rFonts w:ascii="Century Gothic" w:hAnsi="Century Gothic" w:cs="Arial"/>
          <w:b/>
          <w:bCs/>
          <w:sz w:val="20"/>
          <w:szCs w:val="20"/>
        </w:rPr>
        <w:t>preoccupazioni,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2E51AB">
        <w:rPr>
          <w:rFonts w:ascii="Century Gothic" w:hAnsi="Century Gothic" w:cs="Arial"/>
          <w:b/>
          <w:bCs/>
          <w:sz w:val="20"/>
          <w:szCs w:val="20"/>
        </w:rPr>
        <w:t>rituali fissi e/o comportamenti ripetitivi</w:t>
      </w:r>
      <w:r w:rsidRPr="002E51AB">
        <w:rPr>
          <w:rFonts w:ascii="Century Gothic" w:hAnsi="Century Gothic" w:cs="Arial"/>
          <w:sz w:val="20"/>
          <w:szCs w:val="20"/>
        </w:rPr>
        <w:t xml:space="preserve"> o gravemente problematici, che </w:t>
      </w:r>
      <w:r w:rsidRPr="002E51AB">
        <w:rPr>
          <w:rFonts w:ascii="Century Gothic" w:hAnsi="Century Gothic" w:cs="Arial"/>
          <w:b/>
          <w:bCs/>
          <w:sz w:val="20"/>
          <w:szCs w:val="20"/>
        </w:rPr>
        <w:t>interferiscono marcatamente</w:t>
      </w:r>
      <w:r w:rsidRPr="002E51AB">
        <w:rPr>
          <w:rFonts w:ascii="Century Gothic" w:hAnsi="Century Gothic" w:cs="Arial"/>
          <w:sz w:val="20"/>
          <w:szCs w:val="20"/>
        </w:rPr>
        <w:t xml:space="preserve"> con il funzionamento in tutte le sfere, con stress marcato quando i rituali o le routine sono interrotti e </w:t>
      </w:r>
      <w:r w:rsidRPr="002E51AB">
        <w:rPr>
          <w:rFonts w:ascii="Century Gothic" w:hAnsi="Century Gothic" w:cs="Arial"/>
          <w:b/>
          <w:bCs/>
          <w:sz w:val="20"/>
          <w:szCs w:val="20"/>
        </w:rPr>
        <w:t>rilevante difficoltà</w:t>
      </w:r>
      <w:r w:rsidRPr="002E51AB">
        <w:rPr>
          <w:rFonts w:ascii="Century Gothic" w:hAnsi="Century Gothic" w:cs="Arial"/>
          <w:sz w:val="20"/>
          <w:szCs w:val="20"/>
        </w:rPr>
        <w:t xml:space="preserve"> a distogliere il soggetto dal suo focus di interesse</w:t>
      </w:r>
    </w:p>
    <w:p w14:paraId="211324C6" w14:textId="77777777" w:rsidR="004B624F" w:rsidRDefault="004B624F" w:rsidP="004B62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E51AB">
        <w:rPr>
          <w:rFonts w:ascii="Century Gothic" w:hAnsi="Century Gothic" w:cs="Arial"/>
          <w:sz w:val="20"/>
          <w:szCs w:val="20"/>
        </w:rPr>
        <w:t xml:space="preserve">per le persone da classificarsi nella categoria “h” “ritardo mentale grave” la valutazione di questa condizione in età evolutiva dovrà essere effettuata con </w:t>
      </w:r>
      <w:r w:rsidRPr="002E51AB">
        <w:rPr>
          <w:rFonts w:ascii="Century Gothic" w:hAnsi="Century Gothic" w:cs="Arial"/>
          <w:b/>
          <w:bCs/>
          <w:sz w:val="20"/>
          <w:szCs w:val="20"/>
        </w:rPr>
        <w:t>strumenti di valutazione appropriati all’età</w:t>
      </w:r>
      <w:r w:rsidRPr="002E51AB">
        <w:rPr>
          <w:rFonts w:ascii="Century Gothic" w:hAnsi="Century Gothic" w:cs="Arial"/>
          <w:sz w:val="20"/>
          <w:szCs w:val="20"/>
        </w:rPr>
        <w:t xml:space="preserve"> e che non siano influenzati dalle difficoltà di linguaggio e comunicazione o dalle difficoltà motorie, come la scala </w:t>
      </w:r>
      <w:proofErr w:type="spellStart"/>
      <w:r w:rsidRPr="002E51AB">
        <w:rPr>
          <w:rFonts w:ascii="Century Gothic" w:hAnsi="Century Gothic" w:cs="Arial"/>
          <w:sz w:val="20"/>
          <w:szCs w:val="20"/>
        </w:rPr>
        <w:t>Leiter</w:t>
      </w:r>
      <w:proofErr w:type="spellEnd"/>
      <w:r w:rsidRPr="002E51AB">
        <w:rPr>
          <w:rFonts w:ascii="Century Gothic" w:hAnsi="Century Gothic" w:cs="Arial"/>
          <w:sz w:val="20"/>
          <w:szCs w:val="20"/>
        </w:rPr>
        <w:t xml:space="preserve">-R che consente di ottenere un QI non verbale utilizzabile. </w:t>
      </w:r>
      <w:r w:rsidRPr="002E51AB">
        <w:rPr>
          <w:rFonts w:ascii="Century Gothic" w:hAnsi="Century Gothic" w:cs="Arial"/>
          <w:b/>
          <w:bCs/>
          <w:sz w:val="20"/>
          <w:szCs w:val="20"/>
        </w:rPr>
        <w:t>La valutazione dovrà sempre includere la valutazione del comportamento adattivo</w:t>
      </w:r>
      <w:r w:rsidRPr="002E51AB">
        <w:rPr>
          <w:rFonts w:ascii="Century Gothic" w:hAnsi="Century Gothic" w:cs="Arial"/>
          <w:sz w:val="20"/>
          <w:szCs w:val="20"/>
        </w:rPr>
        <w:t xml:space="preserve"> tramite le scale </w:t>
      </w:r>
      <w:proofErr w:type="spellStart"/>
      <w:r w:rsidRPr="002E51AB">
        <w:rPr>
          <w:rFonts w:ascii="Century Gothic" w:hAnsi="Century Gothic" w:cs="Arial"/>
          <w:sz w:val="20"/>
          <w:szCs w:val="20"/>
        </w:rPr>
        <w:t>Vineland</w:t>
      </w:r>
      <w:proofErr w:type="spellEnd"/>
      <w:r w:rsidRPr="002E51AB">
        <w:rPr>
          <w:rFonts w:ascii="Century Gothic" w:hAnsi="Century Gothic" w:cs="Arial"/>
          <w:sz w:val="20"/>
          <w:szCs w:val="20"/>
        </w:rPr>
        <w:t>-II alla quale dovrà essere presente un quoziente adattivo basso inferiore a 70, considerabile analogo a una LAPMER &lt;= a 8.</w:t>
      </w:r>
    </w:p>
    <w:p w14:paraId="76768B9B" w14:textId="77777777" w:rsidR="004B624F" w:rsidRPr="000F0894" w:rsidRDefault="004B624F" w:rsidP="004B62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2E51AB">
        <w:rPr>
          <w:rFonts w:ascii="Century Gothic" w:hAnsi="Century Gothic" w:cs="Arial"/>
          <w:sz w:val="20"/>
          <w:szCs w:val="20"/>
        </w:rPr>
        <w:t>er le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E51AB">
        <w:rPr>
          <w:rFonts w:ascii="Century Gothic" w:hAnsi="Century Gothic" w:cs="Arial"/>
          <w:sz w:val="20"/>
          <w:szCs w:val="20"/>
        </w:rPr>
        <w:t xml:space="preserve">persone classificabili nella categoria “i” “dipendenza vitale” </w:t>
      </w:r>
      <w:r w:rsidRPr="000F0894">
        <w:rPr>
          <w:rFonts w:ascii="Century Gothic" w:hAnsi="Century Gothic" w:cs="Arial"/>
          <w:sz w:val="20"/>
          <w:szCs w:val="20"/>
        </w:rPr>
        <w:t xml:space="preserve">la certificazione di questa condizione deve avvenire tramite la compilazione da parte di </w:t>
      </w:r>
      <w:r w:rsidRPr="000F0894">
        <w:rPr>
          <w:rFonts w:ascii="Century Gothic" w:hAnsi="Century Gothic"/>
          <w:b/>
          <w:bCs/>
          <w:i/>
          <w:sz w:val="18"/>
          <w:szCs w:val="18"/>
        </w:rPr>
        <w:t>Medico specialista di</w:t>
      </w:r>
      <w:r w:rsidRPr="000F0894">
        <w:rPr>
          <w:rFonts w:ascii="Century Gothic" w:hAnsi="Century Gothic"/>
          <w:i/>
          <w:sz w:val="18"/>
          <w:szCs w:val="18"/>
        </w:rPr>
        <w:t xml:space="preserve"> </w:t>
      </w:r>
      <w:r w:rsidRPr="000F0894">
        <w:rPr>
          <w:rFonts w:ascii="Century Gothic" w:hAnsi="Century Gothic"/>
          <w:b/>
          <w:bCs/>
          <w:i/>
          <w:sz w:val="18"/>
          <w:szCs w:val="18"/>
        </w:rPr>
        <w:t>struttura pubblica o privata</w:t>
      </w:r>
      <w:r w:rsidRPr="000F0894">
        <w:rPr>
          <w:rFonts w:ascii="Century Gothic" w:hAnsi="Century Gothic"/>
          <w:i/>
          <w:sz w:val="18"/>
          <w:szCs w:val="18"/>
        </w:rPr>
        <w:t xml:space="preserve"> </w:t>
      </w:r>
      <w:r w:rsidRPr="000F0894">
        <w:rPr>
          <w:rFonts w:ascii="Century Gothic" w:hAnsi="Century Gothic"/>
          <w:b/>
          <w:bCs/>
          <w:i/>
          <w:sz w:val="18"/>
          <w:szCs w:val="18"/>
        </w:rPr>
        <w:t>accreditata</w:t>
      </w:r>
      <w:r w:rsidRPr="000F0894">
        <w:rPr>
          <w:rFonts w:ascii="Century Gothic" w:hAnsi="Century Gothic" w:cs="Arial"/>
          <w:sz w:val="20"/>
          <w:szCs w:val="20"/>
        </w:rPr>
        <w:t xml:space="preserve"> del modello 3 - Persone in condizione di dipendenza vitale “Certificazione clinico-funzionale”.</w:t>
      </w:r>
    </w:p>
    <w:p w14:paraId="3CD6A4AE" w14:textId="77777777" w:rsidR="004B624F" w:rsidRPr="002E0902" w:rsidRDefault="004B624F" w:rsidP="004B624F">
      <w:pPr>
        <w:pStyle w:val="Paragrafoelenc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Il suddetto modello deve essere compilato ESCLUSIVAMENTE per la categoria “i”</w:t>
      </w:r>
    </w:p>
    <w:p w14:paraId="63AA9DE2" w14:textId="77777777" w:rsidR="004B624F" w:rsidRDefault="004B624F" w:rsidP="00D648A3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</w:p>
    <w:p w14:paraId="46A7BE72" w14:textId="77777777" w:rsidR="00EF5F51" w:rsidRDefault="00F510ED" w:rsidP="00D648A3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La Misura B1 prevede, a seguito della Valutazione Multidimensionale, effettuata da ASST, la possibilità di attivare 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strumenti di erogazione di assistenza </w:t>
      </w:r>
      <w:r w:rsidR="00A0586B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in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diretta e diretta volti a promuovere la continuità e la qualità di vita al domicilio della persona disabile: Buoni e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,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laddove vi siano i requisiti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,</w:t>
      </w:r>
      <w:r w:rsidR="00FC2711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specific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he progettualità da realizzarsi con Enti Erogatori accreditati e/o con gli Ambiti </w:t>
      </w:r>
    </w:p>
    <w:p w14:paraId="12631B3D" w14:textId="416F4392" w:rsidR="00FC2711" w:rsidRPr="00EF5F51" w:rsidRDefault="00EF5F51" w:rsidP="00D648A3">
      <w:pPr>
        <w:spacing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</w:pPr>
      <w:r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>L</w:t>
      </w:r>
      <w:r w:rsidR="00F510ED"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 xml:space="preserve">e quote del Buono e </w:t>
      </w:r>
      <w:r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>le</w:t>
      </w:r>
      <w:r w:rsidR="00F510ED"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 xml:space="preserve"> caratteristiche de</w:t>
      </w:r>
      <w:r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 xml:space="preserve">gli interventi di assistenza diretta sono descritti nelle </w:t>
      </w:r>
      <w:r w:rsidR="00F510ED"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 xml:space="preserve">delibere </w:t>
      </w:r>
      <w:r w:rsidRPr="00EF5F51">
        <w:rPr>
          <w:rFonts w:ascii="Century Gothic" w:eastAsia="Times New Roman" w:hAnsi="Century Gothic" w:cs="Tahoma"/>
          <w:color w:val="19191A"/>
          <w:sz w:val="20"/>
          <w:szCs w:val="20"/>
          <w:u w:val="single"/>
          <w:lang w:eastAsia="it-IT"/>
        </w:rPr>
        <w:t>allegate.</w:t>
      </w:r>
    </w:p>
    <w:p w14:paraId="2434E80F" w14:textId="3C9BA4ED" w:rsidR="00F510ED" w:rsidRPr="00EF5F51" w:rsidRDefault="00F41ABA" w:rsidP="00EF5F51">
      <w:pPr>
        <w:spacing w:before="100" w:beforeAutospacing="1" w:after="100" w:afterAutospacing="1" w:line="360" w:lineRule="auto"/>
        <w:jc w:val="both"/>
      </w:pPr>
      <w:r w:rsidRPr="00EF5F51">
        <w:t>L’ATS, a seguito di verifica, stabilisce</w:t>
      </w:r>
      <w:r w:rsidR="00F510ED" w:rsidRPr="00EF5F51">
        <w:t>:</w:t>
      </w:r>
    </w:p>
    <w:p w14:paraId="49F20D39" w14:textId="29685FEE" w:rsidR="00F41ABA" w:rsidRPr="00EF5F51" w:rsidRDefault="00F510ED" w:rsidP="00EF5F51">
      <w:pPr>
        <w:spacing w:before="100" w:beforeAutospacing="1" w:after="100" w:afterAutospacing="1" w:line="360" w:lineRule="auto"/>
        <w:jc w:val="both"/>
      </w:pPr>
      <w:r w:rsidRPr="00EF5F51">
        <w:t xml:space="preserve"> </w:t>
      </w:r>
      <w:r w:rsidR="00F41ABA" w:rsidRPr="00EF5F51">
        <w:t xml:space="preserve"> - in via definitiva l’accesso alla Misura; </w:t>
      </w:r>
    </w:p>
    <w:p w14:paraId="16A8FB69" w14:textId="1CB73C93" w:rsidR="00F41ABA" w:rsidRPr="00EF5F51" w:rsidRDefault="00F41ABA" w:rsidP="00F41ABA">
      <w:pPr>
        <w:spacing w:before="100" w:beforeAutospacing="1" w:after="100" w:afterAutospacing="1" w:line="360" w:lineRule="auto"/>
        <w:ind w:left="357"/>
        <w:jc w:val="both"/>
      </w:pPr>
      <w:r w:rsidRPr="00EF5F51">
        <w:lastRenderedPageBreak/>
        <w:t xml:space="preserve">- </w:t>
      </w:r>
      <w:r w:rsidR="00F510ED" w:rsidRPr="00EF5F51">
        <w:t xml:space="preserve"> </w:t>
      </w:r>
      <w:r w:rsidRPr="00EF5F51">
        <w:t xml:space="preserve">il contestuale inserimento nell’elenco dei beneficiari; </w:t>
      </w:r>
    </w:p>
    <w:p w14:paraId="01B06EB2" w14:textId="77777777" w:rsidR="00F510ED" w:rsidRPr="00EF5F51" w:rsidRDefault="00F41ABA" w:rsidP="00F41ABA">
      <w:pPr>
        <w:spacing w:before="100" w:beforeAutospacing="1" w:after="100" w:afterAutospacing="1" w:line="360" w:lineRule="auto"/>
        <w:ind w:left="357"/>
        <w:jc w:val="both"/>
      </w:pPr>
      <w:r w:rsidRPr="00EF5F51">
        <w:t xml:space="preserve">- il budget individuale attribuibile per l’attivazione degli interventi sulla base del progetto elaborato. </w:t>
      </w:r>
    </w:p>
    <w:p w14:paraId="637666E3" w14:textId="77777777" w:rsidR="00F510ED" w:rsidRPr="00EF5F51" w:rsidRDefault="00F41ABA" w:rsidP="00F41ABA">
      <w:pPr>
        <w:spacing w:before="100" w:beforeAutospacing="1" w:after="100" w:afterAutospacing="1" w:line="360" w:lineRule="auto"/>
        <w:ind w:left="357"/>
        <w:jc w:val="both"/>
      </w:pPr>
      <w:r w:rsidRPr="00EF5F51">
        <w:t xml:space="preserve">L’ATS già a partire dal 1 di marzo 2024 (data di avvio presentazione nuove domande) predispone gli elenchi dei beneficiari utilizzando quale criterio ordinatorio l’ISEE in corso di validità al momento della presentazione della domanda e suddivisi per: - minori - adulti </w:t>
      </w:r>
      <w:r w:rsidR="00F510ED" w:rsidRPr="00EF5F51">
        <w:t>–</w:t>
      </w:r>
      <w:r w:rsidRPr="00EF5F51">
        <w:t xml:space="preserve"> anziani</w:t>
      </w:r>
      <w:r w:rsidR="00F510ED" w:rsidRPr="00EF5F51">
        <w:t>.</w:t>
      </w:r>
    </w:p>
    <w:p w14:paraId="71C24F47" w14:textId="2CD474C1" w:rsidR="00F510ED" w:rsidRPr="00EF5F51" w:rsidRDefault="00F41ABA" w:rsidP="00F41ABA">
      <w:pPr>
        <w:spacing w:before="100" w:beforeAutospacing="1" w:after="100" w:afterAutospacing="1" w:line="360" w:lineRule="auto"/>
        <w:ind w:left="357"/>
        <w:jc w:val="both"/>
      </w:pPr>
      <w:r w:rsidRPr="00EF5F51">
        <w:t xml:space="preserve"> Ogni mese le ATS aggiornano gli elenchi inserendo le persone valutate nel mese precedente utilizzando esclusivamente il criterio ordinatorio ISEE. In caso di parità </w:t>
      </w:r>
      <w:r w:rsidR="00F510ED" w:rsidRPr="00EF5F51">
        <w:t xml:space="preserve">di </w:t>
      </w:r>
      <w:r w:rsidRPr="00EF5F51">
        <w:t xml:space="preserve">condizione economica l’ATS terrà conto della data di protocollazione della domanda </w:t>
      </w:r>
    </w:p>
    <w:p w14:paraId="0E706B69" w14:textId="6A87B9DF" w:rsidR="00226D32" w:rsidRPr="00EF5F51" w:rsidRDefault="00F41ABA" w:rsidP="00EF5F51">
      <w:pPr>
        <w:spacing w:before="100" w:beforeAutospacing="1" w:after="100" w:afterAutospacing="1" w:line="360" w:lineRule="auto"/>
        <w:ind w:left="357"/>
        <w:jc w:val="both"/>
        <w:rPr>
          <w:rFonts w:ascii="Century Gothic" w:eastAsia="Times New Roman" w:hAnsi="Century Gothic" w:cs="Tahoma"/>
          <w:b/>
          <w:bCs/>
          <w:sz w:val="20"/>
          <w:szCs w:val="20"/>
          <w:lang w:eastAsia="it-IT"/>
        </w:rPr>
      </w:pPr>
      <w:r w:rsidRPr="00EF5F51">
        <w:rPr>
          <w:b/>
          <w:bCs/>
        </w:rPr>
        <w:t xml:space="preserve">L’accesso al finanziamento è condizionato alla disponibilità delle risorse per assicurare l’erogazione del contributo per tutto il 2024. Il contributo sarà riconosciuto dal 1° giorno del mese successivo alla data di disponibilità di risorse in considerazione dello specifico elenco. Pertanto, la singola ATS potrà riconoscere il contributo alle persone di nuovo accesso tenuto conto: - degli elenchi stilati, suddivisi per minori, adulti e anziani; - del volume di risorse disponibili e necessarie ad assicurare l’erogazione del contributo per tutto il 2024. Le ATS trasmettono mensilmente agli Ambiti Territoriali gli elenchi </w:t>
      </w:r>
    </w:p>
    <w:p w14:paraId="7CECBA4F" w14:textId="4BA86F67" w:rsidR="00763700" w:rsidRPr="00E72166" w:rsidRDefault="00763700" w:rsidP="00695ED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</w:p>
    <w:p w14:paraId="387A90B9" w14:textId="77777777" w:rsidR="000F0894" w:rsidRDefault="000F0894" w:rsidP="00242955">
      <w:pPr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0E4F21A" w14:textId="4BA1E055" w:rsidR="00EF5F51" w:rsidRPr="000F0894" w:rsidRDefault="008E2D89" w:rsidP="00EF5F51">
      <w:pPr>
        <w:pStyle w:val="TableParagraph"/>
        <w:ind w:left="115"/>
        <w:rPr>
          <w:rFonts w:ascii="Century Gothic" w:hAnsi="Century Gothic" w:cs="Arial"/>
          <w:sz w:val="18"/>
          <w:szCs w:val="18"/>
        </w:rPr>
      </w:pPr>
      <w:r w:rsidRPr="00A0586B">
        <w:rPr>
          <w:rFonts w:ascii="Century Gothic" w:hAnsi="Century Gothic" w:cs="Arial"/>
          <w:b/>
          <w:bCs/>
          <w:sz w:val="18"/>
          <w:szCs w:val="18"/>
        </w:rPr>
        <w:t>PRIMO ACCESSO</w:t>
      </w:r>
      <w:r w:rsidR="000F0894" w:rsidRPr="000F0894">
        <w:rPr>
          <w:rFonts w:ascii="Century Gothic" w:hAnsi="Century Gothic" w:cs="Arial"/>
          <w:sz w:val="18"/>
          <w:szCs w:val="18"/>
        </w:rPr>
        <w:t xml:space="preserve"> </w:t>
      </w:r>
      <w:r w:rsidR="00A0586B">
        <w:rPr>
          <w:rFonts w:ascii="Century Gothic" w:hAnsi="Century Gothic" w:cs="Arial"/>
          <w:sz w:val="18"/>
          <w:szCs w:val="18"/>
        </w:rPr>
        <w:t xml:space="preserve">documentazione </w:t>
      </w:r>
      <w:r w:rsidR="000F0894" w:rsidRPr="000F0894">
        <w:rPr>
          <w:rFonts w:ascii="Century Gothic" w:hAnsi="Century Gothic" w:cs="Arial"/>
          <w:sz w:val="18"/>
          <w:szCs w:val="18"/>
        </w:rPr>
        <w:t xml:space="preserve">da presentarsi dal </w:t>
      </w:r>
      <w:proofErr w:type="gramStart"/>
      <w:r w:rsidR="000F0894" w:rsidRPr="000F0894">
        <w:rPr>
          <w:rFonts w:ascii="Century Gothic" w:hAnsi="Century Gothic" w:cs="Arial"/>
          <w:sz w:val="18"/>
          <w:szCs w:val="18"/>
        </w:rPr>
        <w:t>1</w:t>
      </w:r>
      <w:r w:rsidR="000F0894">
        <w:rPr>
          <w:rFonts w:ascii="Century Gothic" w:hAnsi="Century Gothic" w:cs="Arial"/>
          <w:sz w:val="18"/>
          <w:szCs w:val="18"/>
        </w:rPr>
        <w:t xml:space="preserve"> M</w:t>
      </w:r>
      <w:r w:rsidR="000F0894" w:rsidRPr="000F0894">
        <w:rPr>
          <w:rFonts w:ascii="Century Gothic" w:hAnsi="Century Gothic" w:cs="Arial"/>
          <w:sz w:val="18"/>
          <w:szCs w:val="18"/>
        </w:rPr>
        <w:t>arzo</w:t>
      </w:r>
      <w:proofErr w:type="gramEnd"/>
      <w:r w:rsidR="000F0894" w:rsidRPr="000F0894">
        <w:rPr>
          <w:rFonts w:ascii="Century Gothic" w:hAnsi="Century Gothic" w:cs="Arial"/>
          <w:sz w:val="18"/>
          <w:szCs w:val="18"/>
        </w:rPr>
        <w:t xml:space="preserve"> 2024</w:t>
      </w:r>
      <w:r w:rsidR="00EF5F51">
        <w:rPr>
          <w:rFonts w:ascii="Century Gothic" w:hAnsi="Century Gothic" w:cs="Arial"/>
          <w:sz w:val="18"/>
          <w:szCs w:val="18"/>
        </w:rPr>
        <w:t>:</w:t>
      </w:r>
    </w:p>
    <w:p w14:paraId="31963778" w14:textId="77777777" w:rsidR="00242955" w:rsidRPr="00242955" w:rsidRDefault="00242955" w:rsidP="00D67F04">
      <w:pPr>
        <w:pStyle w:val="TableParagraph"/>
        <w:rPr>
          <w:rFonts w:ascii="Century Gothic" w:hAnsi="Century Gothic" w:cs="Arial"/>
          <w:sz w:val="20"/>
          <w:szCs w:val="20"/>
        </w:rPr>
      </w:pPr>
    </w:p>
    <w:p w14:paraId="5EBB7008" w14:textId="6A39B62B" w:rsidR="008058B0" w:rsidRPr="008058B0" w:rsidRDefault="008058B0" w:rsidP="008058B0">
      <w:pPr>
        <w:pStyle w:val="TableParagraph"/>
        <w:numPr>
          <w:ilvl w:val="0"/>
          <w:numId w:val="16"/>
        </w:numPr>
        <w:spacing w:before="80" w:after="80"/>
        <w:jc w:val="both"/>
        <w:rPr>
          <w:rFonts w:ascii="Century Gothic" w:hAnsi="Century Gothic" w:cs="Arial"/>
          <w:sz w:val="20"/>
          <w:szCs w:val="20"/>
        </w:rPr>
      </w:pPr>
      <w:r w:rsidRPr="008058B0">
        <w:rPr>
          <w:rFonts w:ascii="Century Gothic" w:hAnsi="Century Gothic" w:cs="Arial"/>
          <w:b/>
          <w:bCs/>
          <w:sz w:val="20"/>
          <w:szCs w:val="20"/>
        </w:rPr>
        <w:t>Domanda di valutazione multidimensionale</w:t>
      </w:r>
      <w:r w:rsidRPr="008058B0">
        <w:rPr>
          <w:rFonts w:ascii="Century Gothic" w:hAnsi="Century Gothic" w:cs="Arial"/>
          <w:sz w:val="20"/>
          <w:szCs w:val="20"/>
        </w:rPr>
        <w:t xml:space="preserve"> a favore di persone con gravissima disabilità per il </w:t>
      </w:r>
      <w:r w:rsidRPr="008058B0">
        <w:rPr>
          <w:rFonts w:ascii="Century Gothic" w:hAnsi="Century Gothic" w:cs="Arial"/>
          <w:b/>
          <w:bCs/>
          <w:sz w:val="20"/>
          <w:szCs w:val="20"/>
        </w:rPr>
        <w:t>primo accesso</w:t>
      </w:r>
      <w:r w:rsidRPr="008058B0">
        <w:rPr>
          <w:rFonts w:ascii="Century Gothic" w:hAnsi="Century Gothic" w:cs="Arial"/>
          <w:sz w:val="20"/>
          <w:szCs w:val="20"/>
        </w:rPr>
        <w:t xml:space="preserve"> della misura b1 ai sensi della </w:t>
      </w:r>
      <w:proofErr w:type="spellStart"/>
      <w:r w:rsidRPr="008058B0">
        <w:rPr>
          <w:rFonts w:ascii="Century Gothic" w:hAnsi="Century Gothic" w:cs="Arial"/>
          <w:sz w:val="20"/>
          <w:szCs w:val="20"/>
        </w:rPr>
        <w:t>dgr</w:t>
      </w:r>
      <w:proofErr w:type="spellEnd"/>
      <w:r w:rsidRPr="008058B0">
        <w:rPr>
          <w:rFonts w:ascii="Century Gothic" w:hAnsi="Century Gothic" w:cs="Arial"/>
          <w:sz w:val="20"/>
          <w:szCs w:val="20"/>
        </w:rPr>
        <w:t xml:space="preserve"> n. </w:t>
      </w:r>
      <w:r w:rsidR="00CF4600">
        <w:rPr>
          <w:rFonts w:ascii="Century Gothic" w:hAnsi="Century Gothic" w:cs="Arial"/>
          <w:sz w:val="20"/>
          <w:szCs w:val="20"/>
        </w:rPr>
        <w:t>XII</w:t>
      </w:r>
      <w:r w:rsidRPr="008058B0">
        <w:rPr>
          <w:rFonts w:ascii="Century Gothic" w:hAnsi="Century Gothic" w:cs="Arial"/>
          <w:sz w:val="20"/>
          <w:szCs w:val="20"/>
        </w:rPr>
        <w:t>/1669/2023</w:t>
      </w:r>
      <w:r w:rsidR="00EF5F51">
        <w:rPr>
          <w:rFonts w:ascii="Century Gothic" w:hAnsi="Century Gothic" w:cs="Arial"/>
          <w:sz w:val="20"/>
          <w:szCs w:val="20"/>
        </w:rPr>
        <w:t xml:space="preserve">e </w:t>
      </w:r>
      <w:proofErr w:type="spellStart"/>
      <w:r w:rsidR="00EF5F51">
        <w:rPr>
          <w:rFonts w:ascii="Century Gothic" w:hAnsi="Century Gothic" w:cs="Arial"/>
          <w:sz w:val="20"/>
          <w:szCs w:val="20"/>
        </w:rPr>
        <w:t>dgr</w:t>
      </w:r>
      <w:proofErr w:type="spellEnd"/>
      <w:r w:rsidR="00EF5F51">
        <w:rPr>
          <w:rFonts w:ascii="Century Gothic" w:hAnsi="Century Gothic" w:cs="Arial"/>
          <w:sz w:val="20"/>
          <w:szCs w:val="20"/>
        </w:rPr>
        <w:t xml:space="preserve"> XII/2033 del 18/03/2024</w:t>
      </w:r>
    </w:p>
    <w:p w14:paraId="6ADAC1F8" w14:textId="73B415F6" w:rsidR="00242955" w:rsidRPr="00242955" w:rsidRDefault="00242955" w:rsidP="00242955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890AE5">
        <w:rPr>
          <w:rFonts w:ascii="Century Gothic" w:hAnsi="Century Gothic" w:cs="Arial"/>
          <w:b/>
          <w:bCs/>
          <w:sz w:val="20"/>
          <w:szCs w:val="20"/>
        </w:rPr>
        <w:t>ISEE in corso di validità</w:t>
      </w:r>
      <w:r w:rsidRPr="00242955">
        <w:rPr>
          <w:rFonts w:ascii="Century Gothic" w:hAnsi="Century Gothic" w:cs="Arial"/>
          <w:sz w:val="20"/>
          <w:szCs w:val="20"/>
        </w:rPr>
        <w:t xml:space="preserve"> al momento della presentazione della domanda (compreso quello corrente):</w:t>
      </w:r>
    </w:p>
    <w:p w14:paraId="65503CF4" w14:textId="7374B7A5" w:rsidR="00242955" w:rsidRPr="00242955" w:rsidRDefault="00242955" w:rsidP="00242955">
      <w:pPr>
        <w:pStyle w:val="TableParagraph"/>
        <w:numPr>
          <w:ilvl w:val="0"/>
          <w:numId w:val="17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242955">
        <w:rPr>
          <w:rFonts w:ascii="Century Gothic" w:hAnsi="Century Gothic" w:cs="Arial"/>
          <w:sz w:val="20"/>
          <w:szCs w:val="20"/>
        </w:rPr>
        <w:t xml:space="preserve">per gli </w:t>
      </w:r>
      <w:r w:rsidRPr="00890AE5">
        <w:rPr>
          <w:rFonts w:ascii="Century Gothic" w:hAnsi="Century Gothic" w:cs="Arial"/>
          <w:b/>
          <w:bCs/>
          <w:sz w:val="20"/>
          <w:szCs w:val="20"/>
        </w:rPr>
        <w:t>adulti e gli anziani</w:t>
      </w:r>
      <w:r w:rsidRPr="00242955">
        <w:rPr>
          <w:rFonts w:ascii="Century Gothic" w:hAnsi="Century Gothic" w:cs="Arial"/>
          <w:sz w:val="20"/>
          <w:szCs w:val="20"/>
        </w:rPr>
        <w:t xml:space="preserve"> </w:t>
      </w:r>
      <w:r w:rsidRPr="00890AE5">
        <w:rPr>
          <w:rFonts w:ascii="Century Gothic" w:hAnsi="Century Gothic" w:cs="Arial"/>
          <w:b/>
          <w:bCs/>
          <w:sz w:val="20"/>
          <w:szCs w:val="20"/>
        </w:rPr>
        <w:t>ISEE sociosanitario</w:t>
      </w:r>
      <w:r w:rsidR="00CF460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F4600"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fino a </w:t>
      </w:r>
      <w:r w:rsidR="00FC32D7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€</w:t>
      </w:r>
      <w:r w:rsidR="00CF4600"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50.000,00</w:t>
      </w:r>
      <w:r w:rsidRPr="00242955">
        <w:rPr>
          <w:rFonts w:ascii="Century Gothic" w:hAnsi="Century Gothic" w:cs="Arial"/>
          <w:sz w:val="20"/>
          <w:szCs w:val="20"/>
        </w:rPr>
        <w:t xml:space="preserve"> (anche sul nucleo ristretto secondo la normativa di riferimento)</w:t>
      </w:r>
      <w:r w:rsidR="00CF4600" w:rsidRPr="00CF46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</w:t>
      </w:r>
    </w:p>
    <w:p w14:paraId="62416E81" w14:textId="6D60AFE8" w:rsidR="00242955" w:rsidRDefault="00242955" w:rsidP="00242955">
      <w:pPr>
        <w:pStyle w:val="TableParagraph"/>
        <w:numPr>
          <w:ilvl w:val="0"/>
          <w:numId w:val="17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242955">
        <w:rPr>
          <w:rFonts w:ascii="Century Gothic" w:hAnsi="Century Gothic" w:cs="Arial"/>
          <w:sz w:val="20"/>
          <w:szCs w:val="20"/>
        </w:rPr>
        <w:t xml:space="preserve">per i </w:t>
      </w:r>
      <w:r w:rsidRPr="00890AE5">
        <w:rPr>
          <w:rFonts w:ascii="Century Gothic" w:hAnsi="Century Gothic" w:cs="Arial"/>
          <w:b/>
          <w:bCs/>
          <w:sz w:val="20"/>
          <w:szCs w:val="20"/>
        </w:rPr>
        <w:t>minorenni ISEE ordinario</w:t>
      </w:r>
      <w:r w:rsidR="00CF4600">
        <w:rPr>
          <w:rFonts w:ascii="Century Gothic" w:hAnsi="Century Gothic" w:cs="Arial"/>
          <w:sz w:val="20"/>
          <w:szCs w:val="20"/>
        </w:rPr>
        <w:t xml:space="preserve"> </w:t>
      </w:r>
      <w:r w:rsidR="00CF4600"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fino a </w:t>
      </w:r>
      <w:r w:rsidR="00FC32D7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€</w:t>
      </w:r>
      <w:r w:rsidR="00CF4600"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65.000,00</w:t>
      </w:r>
      <w:r w:rsidR="00CF4600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</w:p>
    <w:p w14:paraId="43A64F07" w14:textId="13D1831F" w:rsidR="00242955" w:rsidRDefault="00EB0885" w:rsidP="00242955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C</w:t>
      </w:r>
      <w:r w:rsidR="00242955" w:rsidRPr="00890AE5">
        <w:rPr>
          <w:rFonts w:ascii="Century Gothic" w:hAnsi="Century Gothic" w:cs="Arial"/>
          <w:b/>
          <w:bCs/>
          <w:sz w:val="20"/>
          <w:szCs w:val="20"/>
        </w:rPr>
        <w:t>ontratto in essere</w:t>
      </w:r>
      <w:r w:rsidR="00242955" w:rsidRPr="00242955">
        <w:rPr>
          <w:rFonts w:ascii="Century Gothic" w:hAnsi="Century Gothic" w:cs="Arial"/>
          <w:sz w:val="20"/>
          <w:szCs w:val="20"/>
        </w:rPr>
        <w:t xml:space="preserve"> con versamento dei contributi previdenziali per personale assunto direttamente oppure documentazione con validità fiscale emessa da ente terzo (es. cooperativa) o da professionista che eroga la prestazione – se non già agli atti della ASST;</w:t>
      </w:r>
    </w:p>
    <w:p w14:paraId="1D69C039" w14:textId="3487F61A" w:rsidR="00FC32D7" w:rsidRPr="00E72166" w:rsidRDefault="00FC32D7" w:rsidP="00EB08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B0885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Verbale di invalidità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da cui emerga</w:t>
      </w:r>
      <w:r w:rsidR="00EB0885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che la p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ersona</w:t>
      </w:r>
      <w:r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="00EB0885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è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in condizione di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gravissima disabilità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beneficiaria </w:t>
      </w:r>
      <w:r w:rsidRPr="002A6A2D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dell’indennità di accompagnamento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di cui alla L. 18/1980 e successive modifiche/integrazioni con legge 508/1988 </w:t>
      </w:r>
      <w:r w:rsidRPr="00A31493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oppure definita non autosufficiente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ai sensi del </w:t>
      </w:r>
      <w:r w:rsidRPr="00A31493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DPCM 159/2013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Allegato 3 e a cui è riconosciuta la rispettiva indennità</w:t>
      </w:r>
    </w:p>
    <w:p w14:paraId="52FED722" w14:textId="5CE29126" w:rsidR="00242955" w:rsidRPr="00EB0885" w:rsidRDefault="00242955" w:rsidP="002B5281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B0885">
        <w:rPr>
          <w:rFonts w:ascii="Century Gothic" w:hAnsi="Century Gothic" w:cs="Arial"/>
          <w:b/>
          <w:bCs/>
          <w:sz w:val="20"/>
          <w:szCs w:val="20"/>
        </w:rPr>
        <w:t>Documentazione clinica</w:t>
      </w:r>
      <w:r w:rsidRPr="00EB0885">
        <w:rPr>
          <w:rFonts w:ascii="Century Gothic" w:hAnsi="Century Gothic" w:cs="Arial"/>
          <w:sz w:val="20"/>
          <w:szCs w:val="20"/>
        </w:rPr>
        <w:t xml:space="preserve"> </w:t>
      </w:r>
      <w:r w:rsidR="00EB0885" w:rsidRPr="00EB0885">
        <w:rPr>
          <w:rFonts w:ascii="Century Gothic" w:hAnsi="Century Gothic" w:cs="Arial"/>
          <w:sz w:val="20"/>
          <w:szCs w:val="20"/>
        </w:rPr>
        <w:t xml:space="preserve">redatta da Medico Specialista di branca di Struttura pubblica o privata accreditata oppure di Struttura Sociosanitaria accreditata con ATS, appropriata </w:t>
      </w:r>
      <w:r w:rsidR="00EB0885" w:rsidRPr="00EB0885">
        <w:rPr>
          <w:rFonts w:ascii="Century Gothic" w:hAnsi="Century Gothic" w:cs="Arial"/>
          <w:sz w:val="20"/>
          <w:szCs w:val="20"/>
        </w:rPr>
        <w:lastRenderedPageBreak/>
        <w:t xml:space="preserve">per la condizione (lettera dalla “a” alla “i”) e con indicazione del punteggio ottenuto con l’applicazione della scala di riferimento o dei parametri di riferimento. </w:t>
      </w:r>
      <w:r w:rsidR="00EB0885">
        <w:rPr>
          <w:rFonts w:ascii="Century Gothic" w:hAnsi="Century Gothic" w:cs="Arial"/>
          <w:sz w:val="20"/>
          <w:szCs w:val="20"/>
        </w:rPr>
        <w:t>P</w:t>
      </w:r>
      <w:r w:rsidR="00CF4600" w:rsidRPr="00EB0885">
        <w:rPr>
          <w:rFonts w:ascii="Century Gothic" w:hAnsi="Century Gothic" w:cs="Arial"/>
          <w:sz w:val="20"/>
          <w:szCs w:val="20"/>
        </w:rPr>
        <w:t xml:space="preserve">er le sole categorie </w:t>
      </w:r>
      <w:r w:rsidR="00EB0885">
        <w:rPr>
          <w:rFonts w:ascii="Century Gothic" w:hAnsi="Century Gothic" w:cs="Arial"/>
          <w:sz w:val="20"/>
          <w:szCs w:val="20"/>
        </w:rPr>
        <w:t>“</w:t>
      </w:r>
      <w:r w:rsidR="00CF4600" w:rsidRPr="00EB0885">
        <w:rPr>
          <w:rFonts w:ascii="Century Gothic" w:hAnsi="Century Gothic" w:cs="Arial"/>
          <w:sz w:val="20"/>
          <w:szCs w:val="20"/>
        </w:rPr>
        <w:t>i</w:t>
      </w:r>
      <w:r w:rsidR="00EB0885">
        <w:rPr>
          <w:rFonts w:ascii="Century Gothic" w:hAnsi="Century Gothic" w:cs="Arial"/>
          <w:sz w:val="20"/>
          <w:szCs w:val="20"/>
        </w:rPr>
        <w:t>”</w:t>
      </w:r>
      <w:r w:rsidR="00CF4600" w:rsidRPr="00EB0885">
        <w:rPr>
          <w:rFonts w:ascii="Century Gothic" w:hAnsi="Century Gothic" w:cs="Arial"/>
          <w:sz w:val="20"/>
          <w:szCs w:val="20"/>
        </w:rPr>
        <w:t xml:space="preserve"> è necessario presentare anche il </w:t>
      </w:r>
      <w:r w:rsidR="00CF4600" w:rsidRPr="00EB0885">
        <w:rPr>
          <w:rFonts w:ascii="Century Gothic" w:hAnsi="Century Gothic" w:cs="Arial"/>
          <w:b/>
          <w:bCs/>
          <w:sz w:val="20"/>
          <w:szCs w:val="20"/>
        </w:rPr>
        <w:t>MODELLO 3</w:t>
      </w:r>
    </w:p>
    <w:p w14:paraId="0ADE1249" w14:textId="02FE2AD7" w:rsidR="00242955" w:rsidRPr="00242955" w:rsidRDefault="00242955" w:rsidP="00242955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890AE5">
        <w:rPr>
          <w:rFonts w:ascii="Century Gothic" w:hAnsi="Century Gothic" w:cs="Arial"/>
          <w:b/>
          <w:bCs/>
          <w:sz w:val="20"/>
          <w:szCs w:val="20"/>
        </w:rPr>
        <w:t>Carta di identità</w:t>
      </w:r>
      <w:r>
        <w:rPr>
          <w:rFonts w:ascii="Century Gothic" w:hAnsi="Century Gothic" w:cs="Arial"/>
          <w:sz w:val="20"/>
          <w:szCs w:val="20"/>
        </w:rPr>
        <w:t xml:space="preserve"> del </w:t>
      </w:r>
      <w:r w:rsidRPr="00890AE5">
        <w:rPr>
          <w:rFonts w:ascii="Century Gothic" w:hAnsi="Century Gothic" w:cs="Arial"/>
          <w:sz w:val="20"/>
          <w:szCs w:val="20"/>
        </w:rPr>
        <w:t>dichiarante</w:t>
      </w:r>
      <w:r w:rsidR="00EB0885">
        <w:rPr>
          <w:rFonts w:ascii="Century Gothic" w:hAnsi="Century Gothic" w:cs="Arial"/>
          <w:sz w:val="20"/>
          <w:szCs w:val="20"/>
        </w:rPr>
        <w:t xml:space="preserve"> (se per minori la carta d’identità di </w:t>
      </w:r>
      <w:r w:rsidR="00EB0885" w:rsidRPr="00890AE5">
        <w:rPr>
          <w:rFonts w:ascii="Century Gothic" w:hAnsi="Century Gothic" w:cs="Arial"/>
          <w:b/>
          <w:bCs/>
          <w:sz w:val="20"/>
          <w:szCs w:val="20"/>
        </w:rPr>
        <w:t>entrambi i genitori</w:t>
      </w:r>
      <w:r w:rsidR="00EB0885"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e della persona per la quale si richiede la misura</w:t>
      </w:r>
    </w:p>
    <w:p w14:paraId="245C52AC" w14:textId="36719E79" w:rsidR="00242955" w:rsidRPr="00242955" w:rsidRDefault="00242955" w:rsidP="00242955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890AE5">
        <w:rPr>
          <w:rFonts w:ascii="Century Gothic" w:hAnsi="Century Gothic" w:cs="Arial"/>
          <w:b/>
          <w:bCs/>
          <w:sz w:val="20"/>
          <w:szCs w:val="20"/>
        </w:rPr>
        <w:t>Modulo</w:t>
      </w:r>
      <w:r>
        <w:rPr>
          <w:rFonts w:ascii="Century Gothic" w:hAnsi="Century Gothic" w:cs="Arial"/>
          <w:sz w:val="20"/>
          <w:szCs w:val="20"/>
        </w:rPr>
        <w:t xml:space="preserve"> Privacy compilato e firmato (se per minori da </w:t>
      </w:r>
      <w:r w:rsidRPr="00890AE5">
        <w:rPr>
          <w:rFonts w:ascii="Century Gothic" w:hAnsi="Century Gothic" w:cs="Arial"/>
          <w:b/>
          <w:bCs/>
          <w:sz w:val="20"/>
          <w:szCs w:val="20"/>
        </w:rPr>
        <w:t>entrambi i genitori</w:t>
      </w:r>
      <w:r>
        <w:rPr>
          <w:rFonts w:ascii="Century Gothic" w:hAnsi="Century Gothic" w:cs="Arial"/>
          <w:sz w:val="20"/>
          <w:szCs w:val="20"/>
        </w:rPr>
        <w:t>)</w:t>
      </w:r>
    </w:p>
    <w:p w14:paraId="0A23447F" w14:textId="4054A41B" w:rsidR="00242955" w:rsidRDefault="00242955" w:rsidP="00242955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890AE5">
        <w:rPr>
          <w:rFonts w:ascii="Century Gothic" w:hAnsi="Century Gothic" w:cs="Arial"/>
          <w:b/>
          <w:bCs/>
          <w:sz w:val="20"/>
          <w:szCs w:val="20"/>
        </w:rPr>
        <w:t>Modello</w:t>
      </w:r>
      <w:r w:rsidRPr="00CF4600">
        <w:rPr>
          <w:rFonts w:ascii="Century Gothic" w:hAnsi="Century Gothic" w:cs="Arial"/>
          <w:b/>
          <w:bCs/>
          <w:sz w:val="20"/>
          <w:szCs w:val="20"/>
        </w:rPr>
        <w:t xml:space="preserve"> 2</w:t>
      </w:r>
      <w:r>
        <w:rPr>
          <w:rFonts w:ascii="Century Gothic" w:hAnsi="Century Gothic" w:cs="Arial"/>
          <w:sz w:val="20"/>
          <w:szCs w:val="20"/>
        </w:rPr>
        <w:t xml:space="preserve">(Comunicazione estremi per la liquidazione del contributo mensile misura b1) </w:t>
      </w:r>
      <w:r w:rsidR="00EB0885">
        <w:rPr>
          <w:rFonts w:ascii="Century Gothic" w:hAnsi="Century Gothic" w:cs="Arial"/>
          <w:sz w:val="20"/>
          <w:szCs w:val="20"/>
        </w:rPr>
        <w:t>e c</w:t>
      </w:r>
      <w:r>
        <w:rPr>
          <w:rFonts w:ascii="Century Gothic" w:hAnsi="Century Gothic" w:cs="Arial"/>
          <w:sz w:val="20"/>
          <w:szCs w:val="20"/>
        </w:rPr>
        <w:t xml:space="preserve">opia dell’iban rilasciata dalla banca in cui si </w:t>
      </w:r>
      <w:r w:rsidR="00EB0885">
        <w:rPr>
          <w:rFonts w:ascii="Century Gothic" w:hAnsi="Century Gothic" w:cs="Arial"/>
          <w:sz w:val="20"/>
          <w:szCs w:val="20"/>
        </w:rPr>
        <w:t xml:space="preserve">evincano </w:t>
      </w:r>
      <w:r>
        <w:rPr>
          <w:rFonts w:ascii="Century Gothic" w:hAnsi="Century Gothic" w:cs="Arial"/>
          <w:sz w:val="20"/>
          <w:szCs w:val="20"/>
        </w:rPr>
        <w:t>anche gli intestatari del conto</w:t>
      </w:r>
    </w:p>
    <w:p w14:paraId="6B15A705" w14:textId="75C98FE5" w:rsidR="00CF4600" w:rsidRPr="00242955" w:rsidRDefault="00CF4600" w:rsidP="00CF4600">
      <w:pPr>
        <w:pStyle w:val="TableParagraph"/>
        <w:numPr>
          <w:ilvl w:val="0"/>
          <w:numId w:val="16"/>
        </w:numPr>
        <w:spacing w:before="80" w:after="80"/>
        <w:ind w:hanging="357"/>
        <w:jc w:val="both"/>
        <w:rPr>
          <w:rFonts w:ascii="Century Gothic" w:hAnsi="Century Gothic" w:cs="Arial"/>
          <w:sz w:val="20"/>
          <w:szCs w:val="20"/>
        </w:rPr>
      </w:pPr>
      <w:r w:rsidRPr="00CF4600">
        <w:rPr>
          <w:rFonts w:ascii="Century Gothic" w:hAnsi="Century Gothic" w:cs="Arial"/>
          <w:b/>
          <w:bCs/>
          <w:sz w:val="18"/>
          <w:szCs w:val="18"/>
        </w:rPr>
        <w:t>SE NECESSARIO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890AE5">
        <w:rPr>
          <w:rFonts w:ascii="Century Gothic" w:hAnsi="Century Gothic" w:cs="Arial"/>
          <w:b/>
          <w:bCs/>
          <w:sz w:val="20"/>
          <w:szCs w:val="20"/>
        </w:rPr>
        <w:t>Modello 1</w:t>
      </w:r>
      <w:r>
        <w:rPr>
          <w:rFonts w:ascii="Century Gothic" w:hAnsi="Century Gothic" w:cs="Arial"/>
          <w:sz w:val="20"/>
          <w:szCs w:val="20"/>
        </w:rPr>
        <w:t xml:space="preserve"> (dichiarazione ai sensi del DPR n° 445/2000 art 4 comma 2)</w:t>
      </w:r>
    </w:p>
    <w:p w14:paraId="65244A54" w14:textId="38B54EFF" w:rsidR="00CF4600" w:rsidRPr="00CF4600" w:rsidRDefault="00CF4600" w:rsidP="00CF4600">
      <w:pPr>
        <w:pStyle w:val="TableParagraph"/>
        <w:spacing w:before="80" w:after="80"/>
        <w:jc w:val="both"/>
        <w:rPr>
          <w:rFonts w:ascii="Century Gothic" w:hAnsi="Century Gothic" w:cs="Arial"/>
          <w:sz w:val="18"/>
          <w:szCs w:val="18"/>
        </w:rPr>
      </w:pPr>
    </w:p>
    <w:p w14:paraId="4049E175" w14:textId="5F081887" w:rsidR="00D43C79" w:rsidRPr="00E72166" w:rsidRDefault="009E3360" w:rsidP="006C4C2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A CHI RIVOLGERSI</w:t>
      </w:r>
    </w:p>
    <w:p w14:paraId="6D5B1ED1" w14:textId="4B230421" w:rsidR="00E27C5C" w:rsidRPr="00E72166" w:rsidRDefault="00E27C5C" w:rsidP="00E72166">
      <w:pPr>
        <w:spacing w:after="270" w:line="405" w:lineRule="atLeast"/>
        <w:jc w:val="both"/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All’ASST (Azienda Socio Sanitaria Territoriale</w:t>
      </w:r>
      <w:r w:rsidRPr="00890AE5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) 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di residenza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che, a seguito della presentazione della domanda effettua la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verifica preliminare dell’istanza ai fini dell’ammissibilità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,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r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ichiedendo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,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laddove necessario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,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le opportune integrazioni* e</w:t>
      </w:r>
      <w:r w:rsidR="002F071F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</w:t>
      </w:r>
      <w:r w:rsidR="00CF4600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successivamente effettua 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la 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u w:val="single"/>
          <w:lang w:eastAsia="it-IT"/>
        </w:rPr>
        <w:t>Valutazione Multidimensionale della persona</w:t>
      </w:r>
      <w:r w:rsidR="007D261D"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ai fini della presa in carico e della predisposizione del Progetto</w:t>
      </w:r>
      <w:r w:rsidR="002F071F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="00AE77CF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di </w:t>
      </w:r>
      <w:r w:rsidR="002F071F"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Vita Individuale Personalizzato e Partecipato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.</w:t>
      </w:r>
    </w:p>
    <w:p w14:paraId="46AB8553" w14:textId="257DAC6B" w:rsidR="00E72166" w:rsidRPr="00695EDA" w:rsidRDefault="00E27C5C" w:rsidP="00E72166">
      <w:pPr>
        <w:spacing w:after="270" w:line="405" w:lineRule="atLeast"/>
        <w:jc w:val="both"/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*</w:t>
      </w:r>
      <w:r w:rsidRPr="00E72166">
        <w:rPr>
          <w:rFonts w:ascii="Century Gothic" w:eastAsia="Times New Roman" w:hAnsi="Century Gothic" w:cs="Tahoma"/>
          <w:i/>
          <w:color w:val="1C2024"/>
          <w:sz w:val="20"/>
          <w:szCs w:val="20"/>
          <w:lang w:eastAsia="it-IT"/>
        </w:rPr>
        <w:t>Si precisa che in assenza di perfezionamento della domanda, ovvero in ipotesi di mancato riscontro alla richiesta di integrazione documentale, l’istanza è da ritener</w:t>
      </w:r>
      <w:r w:rsidR="00EB0885">
        <w:rPr>
          <w:rFonts w:ascii="Century Gothic" w:eastAsia="Times New Roman" w:hAnsi="Century Gothic" w:cs="Tahoma"/>
          <w:i/>
          <w:color w:val="1C2024"/>
          <w:sz w:val="20"/>
          <w:szCs w:val="20"/>
          <w:lang w:eastAsia="it-IT"/>
        </w:rPr>
        <w:t>si</w:t>
      </w:r>
      <w:r w:rsidRPr="00E72166">
        <w:rPr>
          <w:rFonts w:ascii="Century Gothic" w:eastAsia="Times New Roman" w:hAnsi="Century Gothic" w:cs="Tahoma"/>
          <w:i/>
          <w:color w:val="1C2024"/>
          <w:sz w:val="20"/>
          <w:szCs w:val="20"/>
          <w:lang w:eastAsia="it-IT"/>
        </w:rPr>
        <w:t xml:space="preserve"> inammissibile</w:t>
      </w: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 </w:t>
      </w:r>
    </w:p>
    <w:p w14:paraId="0F3F3BD0" w14:textId="2DE55627" w:rsidR="00BF7AAD" w:rsidRPr="00E72166" w:rsidRDefault="00BF7AAD" w:rsidP="00E72166">
      <w:pPr>
        <w:spacing w:after="270" w:line="405" w:lineRule="atLeast"/>
        <w:jc w:val="both"/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>Di seguito i nominativi e</w:t>
      </w:r>
      <w:r w:rsidR="007D261D" w:rsidRP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>d</w:t>
      </w:r>
      <w:r w:rsidRP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 xml:space="preserve"> i recapiti telefonici degli operatori dell</w:t>
      </w:r>
      <w:r w:rsid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 xml:space="preserve">a UOC Cure Domiciliari della </w:t>
      </w:r>
      <w:r w:rsidRP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>ASST di Lodi referenti per la Misura B1</w:t>
      </w:r>
    </w:p>
    <w:p w14:paraId="07E646C6" w14:textId="77777777" w:rsidR="00BF7AAD" w:rsidRPr="00E72166" w:rsidRDefault="00BF7AAD" w:rsidP="00E72166">
      <w:pPr>
        <w:spacing w:after="270" w:line="405" w:lineRule="atLeast"/>
        <w:jc w:val="both"/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Referente Misura B1: 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Dott.ssa Maria Cristina Bianchi</w:t>
      </w:r>
    </w:p>
    <w:p w14:paraId="2835D3DA" w14:textId="563EFB74" w:rsidR="00BF7AAD" w:rsidRPr="00E72166" w:rsidRDefault="00BF7AAD" w:rsidP="00BF7AAD">
      <w:pPr>
        <w:spacing w:after="270" w:line="405" w:lineRule="atLeast"/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Medico referente territoriale: 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D</w:t>
      </w:r>
      <w:r w:rsidR="00932668"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r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.ssa Simona Ratti</w:t>
      </w:r>
    </w:p>
    <w:p w14:paraId="340D1555" w14:textId="399C3B76" w:rsidR="00BF7AAD" w:rsidRDefault="00BF7AAD" w:rsidP="00BF7AAD">
      <w:pPr>
        <w:spacing w:after="270" w:line="405" w:lineRule="atLeast"/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Infermiere referente territoriale: 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Nadia Quaini</w:t>
      </w:r>
    </w:p>
    <w:p w14:paraId="39A1E593" w14:textId="726E9E83" w:rsidR="00A0586B" w:rsidRPr="00E72166" w:rsidRDefault="00A0586B" w:rsidP="00BF7AAD">
      <w:pPr>
        <w:spacing w:after="270" w:line="405" w:lineRule="atLeast"/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>Infermiere referente territoriale:</w:t>
      </w:r>
      <w:r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 </w:t>
      </w:r>
      <w:r w:rsidRPr="00A0586B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Giuseppina Paganini</w:t>
      </w:r>
    </w:p>
    <w:p w14:paraId="74F82E20" w14:textId="2CAEC0E0" w:rsidR="00BF7AAD" w:rsidRPr="00E72166" w:rsidRDefault="00BF7AAD" w:rsidP="00BF7AAD">
      <w:pPr>
        <w:spacing w:after="270" w:line="405" w:lineRule="atLeast"/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C2024"/>
          <w:sz w:val="20"/>
          <w:szCs w:val="20"/>
          <w:lang w:eastAsia="it-IT"/>
        </w:rPr>
        <w:t xml:space="preserve">Assistente Sociale referente territoriale: </w:t>
      </w:r>
      <w:r w:rsidR="00932668"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>Dott.ssa Silvia Tempesti</w:t>
      </w:r>
      <w:r w:rsidRPr="00890AE5">
        <w:rPr>
          <w:rFonts w:ascii="Century Gothic" w:eastAsia="Times New Roman" w:hAnsi="Century Gothic" w:cs="Tahoma"/>
          <w:b/>
          <w:bCs/>
          <w:color w:val="1C2024"/>
          <w:sz w:val="20"/>
          <w:szCs w:val="20"/>
          <w:lang w:eastAsia="it-IT"/>
        </w:rPr>
        <w:t xml:space="preserve"> </w:t>
      </w:r>
    </w:p>
    <w:p w14:paraId="700E7011" w14:textId="77777777" w:rsidR="00BF7AAD" w:rsidRPr="00E72166" w:rsidRDefault="00BF7AAD" w:rsidP="00BF7AAD">
      <w:pPr>
        <w:spacing w:after="270" w:line="405" w:lineRule="atLeast"/>
        <w:rPr>
          <w:rFonts w:ascii="Century Gothic" w:eastAsia="Times New Roman" w:hAnsi="Century Gothic" w:cs="Tahoma"/>
          <w:bCs/>
          <w:color w:val="1C2024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Cs/>
          <w:color w:val="1C2024"/>
          <w:sz w:val="20"/>
          <w:szCs w:val="20"/>
          <w:lang w:eastAsia="it-IT"/>
        </w:rPr>
        <w:t xml:space="preserve">Recapiti telefonici dedicati: </w:t>
      </w:r>
      <w:r w:rsidRPr="00890AE5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>0371/374418</w:t>
      </w:r>
      <w:r w:rsidRPr="00E72166">
        <w:rPr>
          <w:rFonts w:ascii="Century Gothic" w:eastAsia="Times New Roman" w:hAnsi="Century Gothic" w:cs="Tahoma"/>
          <w:bCs/>
          <w:color w:val="1C2024"/>
          <w:sz w:val="20"/>
          <w:szCs w:val="20"/>
          <w:lang w:eastAsia="it-IT"/>
        </w:rPr>
        <w:t xml:space="preserve"> e anche </w:t>
      </w:r>
      <w:r w:rsidRPr="001171FF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>0371/374837</w:t>
      </w:r>
      <w:r w:rsidRPr="00E72166">
        <w:rPr>
          <w:rFonts w:ascii="Century Gothic" w:eastAsia="Times New Roman" w:hAnsi="Century Gothic" w:cs="Tahoma"/>
          <w:bCs/>
          <w:color w:val="1C2024"/>
          <w:sz w:val="20"/>
          <w:szCs w:val="20"/>
          <w:lang w:eastAsia="it-IT"/>
        </w:rPr>
        <w:t xml:space="preserve">   </w:t>
      </w:r>
    </w:p>
    <w:p w14:paraId="74EE327C" w14:textId="1E503BA3" w:rsidR="00BF7AAD" w:rsidRDefault="00BF7AAD" w:rsidP="00BF7AAD">
      <w:pPr>
        <w:spacing w:after="270" w:line="405" w:lineRule="atLeast"/>
        <w:rPr>
          <w:rStyle w:val="Collegamentoipertestuale"/>
          <w:rFonts w:ascii="Century Gothic" w:eastAsia="Times New Roman" w:hAnsi="Century Gothic" w:cs="Tahoma"/>
          <w:b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Cs/>
          <w:color w:val="1C2024"/>
          <w:sz w:val="20"/>
          <w:szCs w:val="20"/>
          <w:lang w:eastAsia="it-IT"/>
        </w:rPr>
        <w:t>Indirizzo E-mail:</w:t>
      </w:r>
      <w:r w:rsidRPr="00E72166"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  <w:t xml:space="preserve"> </w:t>
      </w:r>
      <w:hyperlink r:id="rId8" w:history="1">
        <w:r w:rsidR="00E27C5C" w:rsidRPr="00E72166">
          <w:rPr>
            <w:rStyle w:val="Collegamentoipertestuale"/>
            <w:rFonts w:ascii="Century Gothic" w:eastAsia="Times New Roman" w:hAnsi="Century Gothic" w:cs="Tahoma"/>
            <w:b/>
            <w:sz w:val="20"/>
            <w:szCs w:val="20"/>
            <w:lang w:eastAsia="it-IT"/>
          </w:rPr>
          <w:t>valutazione@asst-lodi.it</w:t>
        </w:r>
      </w:hyperlink>
    </w:p>
    <w:p w14:paraId="070C8C9F" w14:textId="77777777" w:rsidR="00D77FB5" w:rsidRPr="00E72166" w:rsidRDefault="00D77FB5" w:rsidP="00BF7AAD">
      <w:pPr>
        <w:spacing w:after="270" w:line="405" w:lineRule="atLeast"/>
        <w:rPr>
          <w:rFonts w:ascii="Century Gothic" w:eastAsia="Times New Roman" w:hAnsi="Century Gothic" w:cs="Tahoma"/>
          <w:b/>
          <w:color w:val="1C2024"/>
          <w:sz w:val="20"/>
          <w:szCs w:val="20"/>
          <w:lang w:eastAsia="it-IT"/>
        </w:rPr>
      </w:pPr>
    </w:p>
    <w:p w14:paraId="1C88D86A" w14:textId="15503B2D" w:rsidR="00E27C5C" w:rsidRPr="00E72166" w:rsidRDefault="00E27C5C" w:rsidP="00E27C5C">
      <w:pPr>
        <w:shd w:val="clear" w:color="auto" w:fill="FFFFFF"/>
        <w:spacing w:line="240" w:lineRule="auto"/>
        <w:textAlignment w:val="center"/>
        <w:rPr>
          <w:rFonts w:ascii="Century Gothic" w:eastAsia="Times New Roman" w:hAnsi="Century Gothic" w:cs="Calibri"/>
          <w:b/>
          <w:color w:val="000000"/>
          <w:sz w:val="20"/>
          <w:szCs w:val="20"/>
          <w:shd w:val="clear" w:color="auto" w:fill="FFFFFF"/>
          <w:lang w:eastAsia="it-IT"/>
        </w:rPr>
      </w:pPr>
      <w:r w:rsidRPr="00E72166">
        <w:rPr>
          <w:rFonts w:ascii="Century Gothic" w:eastAsia="Times New Roman" w:hAnsi="Century Gothic" w:cs="Helvetica"/>
          <w:b/>
          <w:bCs/>
          <w:color w:val="1C2024"/>
          <w:sz w:val="20"/>
          <w:szCs w:val="20"/>
          <w:lang w:eastAsia="it-IT"/>
        </w:rPr>
        <w:lastRenderedPageBreak/>
        <w:t>TRASM</w:t>
      </w:r>
      <w:r w:rsidR="005D5280">
        <w:rPr>
          <w:rFonts w:ascii="Century Gothic" w:eastAsia="Times New Roman" w:hAnsi="Century Gothic" w:cs="Helvetica"/>
          <w:b/>
          <w:bCs/>
          <w:color w:val="1C2024"/>
          <w:sz w:val="20"/>
          <w:szCs w:val="20"/>
          <w:lang w:eastAsia="it-IT"/>
        </w:rPr>
        <w:t>ISSIONE DELLA</w:t>
      </w:r>
      <w:r w:rsidRPr="00E72166">
        <w:rPr>
          <w:rFonts w:ascii="Century Gothic" w:eastAsia="Times New Roman" w:hAnsi="Century Gothic" w:cs="Helvetica"/>
          <w:b/>
          <w:bCs/>
          <w:color w:val="1C2024"/>
          <w:sz w:val="20"/>
          <w:szCs w:val="20"/>
          <w:lang w:eastAsia="it-IT"/>
        </w:rPr>
        <w:t xml:space="preserve"> DOMANDA</w:t>
      </w:r>
    </w:p>
    <w:p w14:paraId="62879FAB" w14:textId="609BCBEF" w:rsidR="005D5280" w:rsidRPr="005D5280" w:rsidRDefault="005D5280" w:rsidP="00E27C5C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</w:pP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>Perché la domanda possa essere accolta e protocollata è necessario che sia completa di</w:t>
      </w:r>
      <w:r w:rsidRPr="00890AE5">
        <w:rPr>
          <w:rFonts w:ascii="Century Gothic" w:eastAsia="Times New Roman" w:hAnsi="Century Gothic" w:cs="Calibri"/>
          <w:b/>
          <w:bCs/>
          <w:sz w:val="20"/>
          <w:szCs w:val="20"/>
          <w:shd w:val="clear" w:color="auto" w:fill="FFFFFF"/>
          <w:lang w:eastAsia="it-IT"/>
        </w:rPr>
        <w:t xml:space="preserve"> tutta</w:t>
      </w: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 la documentazione e </w:t>
      </w:r>
      <w:r w:rsidRPr="00890AE5">
        <w:rPr>
          <w:rFonts w:ascii="Century Gothic" w:eastAsia="Times New Roman" w:hAnsi="Century Gothic" w:cs="Calibri"/>
          <w:b/>
          <w:bCs/>
          <w:sz w:val="20"/>
          <w:szCs w:val="20"/>
          <w:shd w:val="clear" w:color="auto" w:fill="FFFFFF"/>
          <w:lang w:eastAsia="it-IT"/>
        </w:rPr>
        <w:t>compilata in ogni sua parte</w:t>
      </w: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. Il documento di identità di chi firma la domanda </w:t>
      </w:r>
      <w:r w:rsidR="00A0586B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(il dichiarante) </w:t>
      </w: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deve necessariamente essere trasmesso. </w:t>
      </w:r>
      <w:r w:rsidR="00890AE5"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>È</w:t>
      </w:r>
      <w:r w:rsidR="00C46BF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 </w:t>
      </w: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>opportuno che la domanda e la documentazione vengano trasmessi in un unico invio.</w:t>
      </w:r>
    </w:p>
    <w:p w14:paraId="48E32091" w14:textId="35C1AFF2" w:rsidR="00E27C5C" w:rsidRPr="00A0586B" w:rsidRDefault="00E27C5C" w:rsidP="00E27C5C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Calibri"/>
          <w:bCs/>
          <w:color w:val="000000"/>
          <w:sz w:val="20"/>
          <w:szCs w:val="20"/>
          <w:shd w:val="clear" w:color="auto" w:fill="FFFFFF"/>
          <w:lang w:eastAsia="it-IT"/>
        </w:rPr>
      </w:pP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>La</w:t>
      </w:r>
      <w:r w:rsidR="004E2349"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 </w:t>
      </w:r>
      <w:r w:rsidRPr="005D5280">
        <w:rPr>
          <w:rFonts w:ascii="Century Gothic" w:eastAsia="Times New Roman" w:hAnsi="Century Gothic" w:cs="Calibri"/>
          <w:sz w:val="20"/>
          <w:szCs w:val="20"/>
          <w:shd w:val="clear" w:color="auto" w:fill="FFFFFF"/>
          <w:lang w:eastAsia="it-IT"/>
        </w:rPr>
        <w:t xml:space="preserve">domanda compilata </w:t>
      </w:r>
      <w:r w:rsidRPr="00E72166"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  <w:t xml:space="preserve">in ogni sua parte e completa di tutta la documentazione necessaria dovrà pervenire alla ASST di Lodi UOC </w:t>
      </w:r>
      <w:r w:rsidR="007D261D" w:rsidRPr="00E72166"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  <w:t>Cure Domiciliari</w:t>
      </w:r>
      <w:r w:rsidRPr="00E72166"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  <w:t> </w:t>
      </w:r>
      <w:r w:rsidRPr="00A0586B">
        <w:rPr>
          <w:rFonts w:ascii="Century Gothic" w:eastAsia="Times New Roman" w:hAnsi="Century Gothic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tramite: </w:t>
      </w:r>
    </w:p>
    <w:p w14:paraId="4C652E25" w14:textId="77777777" w:rsidR="00E27C5C" w:rsidRPr="00E72166" w:rsidRDefault="00E27C5C" w:rsidP="00E27C5C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</w:pPr>
      <w:r w:rsidRPr="00E72166"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  <w:t xml:space="preserve"> - e-mail: </w:t>
      </w:r>
      <w:hyperlink r:id="rId9" w:history="1">
        <w:r w:rsidRPr="00E72166">
          <w:rPr>
            <w:rFonts w:ascii="Century Gothic" w:eastAsia="Times New Roman" w:hAnsi="Century Gothic" w:cs="Calibri"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valutazione@asst-lodi.it</w:t>
        </w:r>
      </w:hyperlink>
    </w:p>
    <w:p w14:paraId="4D250F6F" w14:textId="77777777" w:rsidR="005D5280" w:rsidRPr="00E72166" w:rsidRDefault="005D5280" w:rsidP="00E27C5C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it-IT"/>
        </w:rPr>
      </w:pPr>
    </w:p>
    <w:p w14:paraId="4994B5BE" w14:textId="77777777" w:rsidR="00890AE5" w:rsidRDefault="00D77FB5" w:rsidP="00E27C5C">
      <w:pPr>
        <w:spacing w:after="100" w:afterAutospacing="1" w:line="240" w:lineRule="auto"/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QUANDO</w:t>
      </w:r>
    </w:p>
    <w:p w14:paraId="6677D5C1" w14:textId="1950D476" w:rsidR="00D77FB5" w:rsidRDefault="002F071F" w:rsidP="003E3E67">
      <w:pPr>
        <w:spacing w:after="100" w:afterAutospacing="1" w:line="240" w:lineRule="auto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Le domande per il </w:t>
      </w: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nuovo accesso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alla Misura possono essere presentate </w:t>
      </w:r>
      <w:r w:rsidR="00AE77CF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dal </w:t>
      </w:r>
      <w:r w:rsidR="00AE77CF" w:rsidRPr="00AE77CF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01/03/</w:t>
      </w:r>
      <w:proofErr w:type="gramStart"/>
      <w:r w:rsidR="00AE77CF" w:rsidRPr="00AE77CF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2024</w:t>
      </w:r>
      <w:r w:rsidR="00AE77CF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 e</w:t>
      </w:r>
      <w:proofErr w:type="gramEnd"/>
      <w:r w:rsidR="00AE77CF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 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 xml:space="preserve">entro e non oltre il </w:t>
      </w:r>
      <w:r w:rsidRPr="00E72166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31/10/202</w:t>
      </w:r>
      <w:r w:rsidR="00C752A9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4</w:t>
      </w:r>
      <w:r w:rsidRPr="00E72166"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  <w:t>.</w:t>
      </w:r>
    </w:p>
    <w:p w14:paraId="4CF37A59" w14:textId="77777777" w:rsidR="003E3E67" w:rsidRPr="003E3E67" w:rsidRDefault="003E3E67" w:rsidP="003E3E67">
      <w:pPr>
        <w:spacing w:after="100" w:afterAutospacing="1" w:line="240" w:lineRule="auto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</w:p>
    <w:p w14:paraId="34A754CB" w14:textId="1B184583" w:rsidR="000736CF" w:rsidRPr="009E3360" w:rsidRDefault="006F42BA" w:rsidP="009E336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ULTERIORI </w:t>
      </w:r>
      <w:r w:rsidR="00D77FB5" w:rsidRPr="009E336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>PRECISAZIONI</w:t>
      </w:r>
    </w:p>
    <w:p w14:paraId="491E3B4C" w14:textId="7B46CC64" w:rsidR="000736CF" w:rsidRPr="009034AE" w:rsidRDefault="000736CF" w:rsidP="009034AE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La certificazione sanitaria deve essere prodotta da </w:t>
      </w:r>
      <w:r w:rsidRPr="00890AE5">
        <w:rPr>
          <w:rFonts w:ascii="Century Gothic" w:hAnsi="Century Gothic" w:cs="Tahoma"/>
          <w:b/>
          <w:bCs/>
          <w:sz w:val="20"/>
          <w:szCs w:val="20"/>
        </w:rPr>
        <w:t>medico specialista</w:t>
      </w:r>
      <w:r>
        <w:rPr>
          <w:rFonts w:ascii="Century Gothic" w:hAnsi="Century Gothic" w:cs="Tahoma"/>
          <w:sz w:val="20"/>
          <w:szCs w:val="20"/>
        </w:rPr>
        <w:t xml:space="preserve"> di branca </w:t>
      </w:r>
      <w:r w:rsidRPr="000736CF">
        <w:rPr>
          <w:rFonts w:ascii="Century Gothic" w:hAnsi="Century Gothic" w:cs="Tahoma"/>
          <w:sz w:val="20"/>
          <w:szCs w:val="20"/>
        </w:rPr>
        <w:t xml:space="preserve">di struttura </w:t>
      </w:r>
      <w:r w:rsidRPr="00890AE5">
        <w:rPr>
          <w:rFonts w:ascii="Century Gothic" w:hAnsi="Century Gothic" w:cs="Tahoma"/>
          <w:b/>
          <w:bCs/>
          <w:sz w:val="20"/>
          <w:szCs w:val="20"/>
        </w:rPr>
        <w:t>pubblica o privata accreditata con la ATS</w:t>
      </w:r>
      <w:r w:rsidR="009034AE">
        <w:rPr>
          <w:rFonts w:ascii="Century Gothic" w:hAnsi="Century Gothic" w:cs="Tahoma"/>
          <w:b/>
          <w:bCs/>
          <w:sz w:val="20"/>
          <w:szCs w:val="20"/>
        </w:rPr>
        <w:t>.</w:t>
      </w:r>
    </w:p>
    <w:p w14:paraId="39E80D13" w14:textId="0E1825EA" w:rsidR="00FE31D7" w:rsidRPr="00E72166" w:rsidRDefault="009034AE" w:rsidP="00FE31D7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L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e persone che si avvalgono di personale di assistenza regolarmente assunto sono tenute a trasmettere trimestralmente l’autocertificazione resa tramite la compilazione del modulo </w:t>
      </w:r>
      <w:r w:rsidR="00FE31D7" w:rsidRPr="008817B1">
        <w:rPr>
          <w:rFonts w:ascii="Century Gothic" w:hAnsi="Century Gothic" w:cs="Tahoma"/>
          <w:b/>
          <w:bCs/>
          <w:sz w:val="20"/>
          <w:szCs w:val="20"/>
        </w:rPr>
        <w:t>“Dichiarazione spese sostenute per il personale di assistenza”</w:t>
      </w:r>
      <w:r w:rsidR="008817B1" w:rsidRPr="008817B1">
        <w:rPr>
          <w:rFonts w:ascii="Century Gothic" w:hAnsi="Century Gothic" w:cs="Tahoma"/>
          <w:b/>
          <w:bCs/>
          <w:sz w:val="20"/>
          <w:szCs w:val="20"/>
        </w:rPr>
        <w:t xml:space="preserve">. </w:t>
      </w:r>
      <w:r w:rsidR="00E36F91" w:rsidRPr="00E72166">
        <w:rPr>
          <w:rFonts w:ascii="Century Gothic" w:hAnsi="Century Gothic" w:cs="Tahoma"/>
          <w:sz w:val="20"/>
          <w:szCs w:val="20"/>
        </w:rPr>
        <w:t>Qualora si riscontrasse irregolarità nelle autocertificazioni, l’ATS garantisce esclusivamente l’erogazione della quota mensile base</w:t>
      </w:r>
      <w:r w:rsidR="00562FF7" w:rsidRPr="00E72166">
        <w:rPr>
          <w:rFonts w:ascii="Century Gothic" w:hAnsi="Century Gothic" w:cs="Tahoma"/>
          <w:sz w:val="20"/>
          <w:szCs w:val="20"/>
        </w:rPr>
        <w:t xml:space="preserve"> e non del contributo aggiuntivo</w:t>
      </w:r>
      <w:r w:rsidR="00E36F91" w:rsidRPr="00E72166">
        <w:rPr>
          <w:rFonts w:ascii="Century Gothic" w:hAnsi="Century Gothic" w:cs="Tahoma"/>
          <w:sz w:val="20"/>
          <w:szCs w:val="20"/>
        </w:rPr>
        <w:t xml:space="preserve"> sino al pe</w:t>
      </w:r>
      <w:r w:rsidR="00562FF7" w:rsidRPr="00E72166">
        <w:rPr>
          <w:rFonts w:ascii="Century Gothic" w:hAnsi="Century Gothic" w:cs="Tahoma"/>
          <w:sz w:val="20"/>
          <w:szCs w:val="20"/>
        </w:rPr>
        <w:t>r</w:t>
      </w:r>
      <w:r w:rsidR="00E36F91" w:rsidRPr="00E72166">
        <w:rPr>
          <w:rFonts w:ascii="Century Gothic" w:hAnsi="Century Gothic" w:cs="Tahoma"/>
          <w:sz w:val="20"/>
          <w:szCs w:val="20"/>
        </w:rPr>
        <w:t>fezionamento della posizione con eventuale conguaglio delle somme dovute</w:t>
      </w:r>
      <w:r>
        <w:rPr>
          <w:rFonts w:ascii="Century Gothic" w:hAnsi="Century Gothic" w:cs="Tahoma"/>
          <w:sz w:val="20"/>
          <w:szCs w:val="20"/>
        </w:rPr>
        <w:t>.</w:t>
      </w:r>
    </w:p>
    <w:p w14:paraId="164A6527" w14:textId="7DB0B57B" w:rsidR="00FE31D7" w:rsidRPr="00E72166" w:rsidRDefault="009034AE" w:rsidP="00FE31D7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L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’erogazione del buono Misura B1 </w:t>
      </w:r>
      <w:r w:rsidR="00FE31D7" w:rsidRPr="00890AE5">
        <w:rPr>
          <w:rFonts w:ascii="Century Gothic" w:hAnsi="Century Gothic" w:cs="Tahoma"/>
          <w:b/>
          <w:bCs/>
          <w:sz w:val="20"/>
          <w:szCs w:val="20"/>
        </w:rPr>
        <w:t>è sospesa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 nel caso di permanenza della persona </w:t>
      </w:r>
      <w:r w:rsidR="00FE31D7" w:rsidRPr="00890AE5">
        <w:rPr>
          <w:rFonts w:ascii="Century Gothic" w:hAnsi="Century Gothic" w:cs="Tahoma"/>
          <w:b/>
          <w:bCs/>
          <w:sz w:val="20"/>
          <w:szCs w:val="20"/>
        </w:rPr>
        <w:t>fuori Regione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 Lombardia oltre </w:t>
      </w:r>
      <w:r w:rsidR="00FE31D7" w:rsidRPr="00890AE5">
        <w:rPr>
          <w:rFonts w:ascii="Century Gothic" w:hAnsi="Century Gothic" w:cs="Tahoma"/>
          <w:b/>
          <w:bCs/>
          <w:sz w:val="20"/>
          <w:szCs w:val="20"/>
        </w:rPr>
        <w:t>90 giorni annuali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. </w:t>
      </w:r>
      <w:r w:rsidR="001A6766" w:rsidRPr="00E72166">
        <w:rPr>
          <w:rFonts w:ascii="Century Gothic" w:hAnsi="Century Gothic" w:cs="Tahoma"/>
          <w:sz w:val="20"/>
          <w:szCs w:val="20"/>
        </w:rPr>
        <w:t>È</w:t>
      </w:r>
      <w:r w:rsidR="00A765F9" w:rsidRPr="00E72166">
        <w:rPr>
          <w:rFonts w:ascii="Century Gothic" w:hAnsi="Century Gothic" w:cs="Tahoma"/>
          <w:sz w:val="20"/>
          <w:szCs w:val="20"/>
        </w:rPr>
        <w:t xml:space="preserve"> 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necessario che ogni periodo trascorso al di fuori di Regione Lombardia venga </w:t>
      </w:r>
      <w:r w:rsidR="006C4C22" w:rsidRPr="00E72166">
        <w:rPr>
          <w:rFonts w:ascii="Century Gothic" w:hAnsi="Century Gothic" w:cs="Tahoma"/>
          <w:sz w:val="20"/>
          <w:szCs w:val="20"/>
        </w:rPr>
        <w:t xml:space="preserve">puntualmente </w:t>
      </w:r>
      <w:r w:rsidR="00FE31D7" w:rsidRPr="00E72166">
        <w:rPr>
          <w:rFonts w:ascii="Century Gothic" w:hAnsi="Century Gothic" w:cs="Tahoma"/>
          <w:sz w:val="20"/>
          <w:szCs w:val="20"/>
        </w:rPr>
        <w:t>comunicato</w:t>
      </w:r>
      <w:r>
        <w:rPr>
          <w:rFonts w:ascii="Century Gothic" w:hAnsi="Century Gothic" w:cs="Tahoma"/>
          <w:sz w:val="20"/>
          <w:szCs w:val="20"/>
        </w:rPr>
        <w:t>.</w:t>
      </w:r>
    </w:p>
    <w:p w14:paraId="785C04AC" w14:textId="5442E3B2" w:rsidR="00FE31D7" w:rsidRPr="00E72166" w:rsidRDefault="009034AE" w:rsidP="00FE31D7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L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’ASST </w:t>
      </w:r>
      <w:r w:rsidR="00A765F9" w:rsidRPr="00E72166">
        <w:rPr>
          <w:rFonts w:ascii="Century Gothic" w:hAnsi="Century Gothic" w:cs="Tahoma"/>
          <w:sz w:val="20"/>
          <w:szCs w:val="20"/>
        </w:rPr>
        <w:t xml:space="preserve">può </w:t>
      </w:r>
      <w:r w:rsidR="00FE31D7" w:rsidRPr="00890AE5">
        <w:rPr>
          <w:rFonts w:ascii="Century Gothic" w:hAnsi="Century Gothic" w:cs="Tahoma"/>
          <w:b/>
          <w:bCs/>
          <w:sz w:val="20"/>
          <w:szCs w:val="20"/>
        </w:rPr>
        <w:t>sempre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 richiedere </w:t>
      </w:r>
      <w:r w:rsidR="00FE31D7" w:rsidRPr="009034AE">
        <w:rPr>
          <w:rFonts w:ascii="Century Gothic" w:hAnsi="Century Gothic" w:cs="Tahoma"/>
          <w:b/>
          <w:bCs/>
          <w:sz w:val="20"/>
          <w:szCs w:val="20"/>
        </w:rPr>
        <w:t>valutazioni integrative o rivalutazioni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 delle condizioni cliniche</w:t>
      </w:r>
      <w:r w:rsidR="006C4C22" w:rsidRPr="00E72166">
        <w:rPr>
          <w:rFonts w:ascii="Century Gothic" w:hAnsi="Century Gothic" w:cs="Tahoma"/>
          <w:sz w:val="20"/>
          <w:szCs w:val="20"/>
        </w:rPr>
        <w:t xml:space="preserve"> e/o assistenziali</w:t>
      </w:r>
      <w:r>
        <w:rPr>
          <w:rFonts w:ascii="Century Gothic" w:hAnsi="Century Gothic" w:cs="Tahoma"/>
          <w:sz w:val="20"/>
          <w:szCs w:val="20"/>
        </w:rPr>
        <w:t>.</w:t>
      </w:r>
    </w:p>
    <w:p w14:paraId="01566E06" w14:textId="09068F04" w:rsidR="007F5828" w:rsidRDefault="00EB0885" w:rsidP="00D77FB5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Il 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beneficiario/caregiver è tenuto alla </w:t>
      </w:r>
      <w:r w:rsidR="00FE31D7" w:rsidRPr="009034AE">
        <w:rPr>
          <w:rFonts w:ascii="Century Gothic" w:hAnsi="Century Gothic" w:cs="Tahoma"/>
          <w:b/>
          <w:bCs/>
          <w:sz w:val="20"/>
          <w:szCs w:val="20"/>
        </w:rPr>
        <w:t>tempestiva comunicazione</w:t>
      </w:r>
      <w:r w:rsidR="00FE31D7" w:rsidRPr="00E72166">
        <w:rPr>
          <w:rFonts w:ascii="Century Gothic" w:hAnsi="Century Gothic" w:cs="Tahoma"/>
          <w:sz w:val="20"/>
          <w:szCs w:val="20"/>
        </w:rPr>
        <w:t xml:space="preserve"> di ogni variazione che </w:t>
      </w:r>
      <w:r w:rsidR="00A765F9" w:rsidRPr="00E72166">
        <w:rPr>
          <w:rFonts w:ascii="Century Gothic" w:hAnsi="Century Gothic" w:cs="Tahoma"/>
          <w:sz w:val="20"/>
          <w:szCs w:val="20"/>
        </w:rPr>
        <w:t>riguardi le condizioni del beneficiario o dell’organizzazione assistenziale</w:t>
      </w:r>
      <w:r w:rsidR="009034AE">
        <w:rPr>
          <w:rFonts w:ascii="Century Gothic" w:hAnsi="Century Gothic" w:cs="Tahoma"/>
          <w:sz w:val="20"/>
          <w:szCs w:val="20"/>
        </w:rPr>
        <w:t>.</w:t>
      </w:r>
    </w:p>
    <w:p w14:paraId="2C941C84" w14:textId="77777777" w:rsidR="00D77FB5" w:rsidRPr="00D77FB5" w:rsidRDefault="00D77FB5" w:rsidP="00D77FB5">
      <w:pPr>
        <w:jc w:val="both"/>
        <w:rPr>
          <w:rFonts w:ascii="Century Gothic" w:hAnsi="Century Gothic" w:cs="Tahoma"/>
          <w:sz w:val="20"/>
          <w:szCs w:val="20"/>
        </w:rPr>
      </w:pPr>
    </w:p>
    <w:p w14:paraId="1E154A37" w14:textId="77777777" w:rsidR="00E72166" w:rsidRDefault="00E72166" w:rsidP="00E72166">
      <w:pPr>
        <w:spacing w:after="12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INCOMPATIBILITÀ</w:t>
      </w:r>
    </w:p>
    <w:p w14:paraId="31CCE836" w14:textId="77777777" w:rsidR="00E72166" w:rsidRDefault="00E72166" w:rsidP="00E7216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Misura B1 </w:t>
      </w:r>
      <w:r>
        <w:rPr>
          <w:rFonts w:ascii="Century Gothic" w:hAnsi="Century Gothic"/>
          <w:sz w:val="20"/>
          <w:u w:val="single"/>
        </w:rPr>
        <w:t>NON è compatibile</w:t>
      </w:r>
      <w:r>
        <w:rPr>
          <w:rFonts w:ascii="Century Gothic" w:hAnsi="Century Gothic"/>
          <w:sz w:val="20"/>
        </w:rPr>
        <w:t xml:space="preserve"> con:</w:t>
      </w:r>
    </w:p>
    <w:p w14:paraId="1CF53D5B" w14:textId="5226D778" w:rsid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accoglienza definitiva presso Unità d’offerta </w:t>
      </w:r>
      <w:r>
        <w:rPr>
          <w:rFonts w:ascii="Century Gothic" w:hAnsi="Century Gothic"/>
          <w:b/>
          <w:sz w:val="20"/>
          <w:u w:val="single"/>
        </w:rPr>
        <w:t>residenziali</w:t>
      </w:r>
      <w:r>
        <w:rPr>
          <w:rFonts w:ascii="Century Gothic" w:hAnsi="Century Gothic"/>
          <w:b/>
          <w:sz w:val="20"/>
        </w:rPr>
        <w:t xml:space="preserve"> socio sanitarie o sociali</w:t>
      </w:r>
      <w:r>
        <w:rPr>
          <w:rFonts w:ascii="Century Gothic" w:hAnsi="Century Gothic"/>
          <w:sz w:val="20"/>
        </w:rPr>
        <w:t xml:space="preserve"> (es. RSA, RSD, CSS, Hospice, Misura Residenzialità per minori con gravissima disabilità);</w:t>
      </w:r>
    </w:p>
    <w:p w14:paraId="3724E8C1" w14:textId="6BBED3D7" w:rsidR="00E72166" w:rsidRP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Misura B2;</w:t>
      </w:r>
    </w:p>
    <w:p w14:paraId="2451F72A" w14:textId="18C8D5CD" w:rsid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presa in carico con </w:t>
      </w:r>
      <w:r>
        <w:rPr>
          <w:rFonts w:ascii="Century Gothic" w:hAnsi="Century Gothic"/>
          <w:b/>
          <w:sz w:val="20"/>
        </w:rPr>
        <w:t>Misura RSA Aperta</w:t>
      </w:r>
      <w:r>
        <w:rPr>
          <w:rFonts w:ascii="Century Gothic" w:hAnsi="Century Gothic"/>
          <w:sz w:val="20"/>
        </w:rPr>
        <w:t xml:space="preserve"> ex DGR n. 7769/2018;</w:t>
      </w:r>
    </w:p>
    <w:p w14:paraId="72B99D9E" w14:textId="0E70A697" w:rsidR="00E72166" w:rsidRP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  <w:lang w:val="en-US"/>
        </w:rPr>
      </w:pPr>
      <w:r w:rsidRPr="00E72166">
        <w:rPr>
          <w:rFonts w:ascii="Century Gothic" w:hAnsi="Century Gothic"/>
          <w:b/>
          <w:bCs/>
          <w:sz w:val="20"/>
          <w:lang w:val="en-US"/>
        </w:rPr>
        <w:t>Home Care Premium</w:t>
      </w:r>
      <w:r w:rsidRPr="00E72166">
        <w:rPr>
          <w:rFonts w:ascii="Century Gothic" w:hAnsi="Century Gothic"/>
          <w:sz w:val="20"/>
          <w:lang w:val="en-US"/>
        </w:rPr>
        <w:t>/INPS H</w:t>
      </w:r>
      <w:r>
        <w:rPr>
          <w:rFonts w:ascii="Century Gothic" w:hAnsi="Century Gothic"/>
          <w:sz w:val="20"/>
          <w:lang w:val="en-US"/>
        </w:rPr>
        <w:t>CP</w:t>
      </w:r>
    </w:p>
    <w:p w14:paraId="073F8874" w14:textId="6781B4DF" w:rsid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ricovero di sollievo nel caso in cui il costo del ricovero sia a totale carico del Fondo Sanitario Regionale</w:t>
      </w:r>
      <w:r>
        <w:rPr>
          <w:rFonts w:ascii="Century Gothic" w:hAnsi="Century Gothic"/>
          <w:sz w:val="20"/>
        </w:rPr>
        <w:t xml:space="preserve"> (ad esempio ricovero SLA/malattia del motoneurone, ricovero stati vegetativi, …);</w:t>
      </w:r>
    </w:p>
    <w:p w14:paraId="5A1605A5" w14:textId="4E0BDA27" w:rsidR="002E0623" w:rsidRPr="002E0623" w:rsidRDefault="002E0623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ricovero di sollievo nel caso in cui si protragga per più di 60 giorni in caso di soggetti </w:t>
      </w:r>
      <w:r w:rsidR="00780878">
        <w:rPr>
          <w:rFonts w:ascii="Century Gothic" w:hAnsi="Century Gothic"/>
          <w:b/>
          <w:sz w:val="20"/>
        </w:rPr>
        <w:t>maggiorenni</w:t>
      </w:r>
    </w:p>
    <w:p w14:paraId="7604BEBA" w14:textId="456A09A3" w:rsidR="002E0623" w:rsidRDefault="002E0623" w:rsidP="002E0623">
      <w:pPr>
        <w:pStyle w:val="Paragrafoelenco"/>
        <w:spacing w:before="120" w:after="0" w:line="240" w:lineRule="auto"/>
        <w:ind w:left="426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 adulti oppure per più di 90 giorni in caso di soggetti minorenni</w:t>
      </w:r>
    </w:p>
    <w:p w14:paraId="7ECA0D6D" w14:textId="069A2DF0" w:rsidR="00E72166" w:rsidRDefault="00E72166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presa in carico in</w:t>
      </w:r>
      <w:r>
        <w:rPr>
          <w:rFonts w:ascii="Century Gothic" w:hAnsi="Century Gothic"/>
          <w:b/>
          <w:sz w:val="20"/>
        </w:rPr>
        <w:t xml:space="preserve"> Unità d’offerta </w:t>
      </w:r>
      <w:r>
        <w:rPr>
          <w:rFonts w:ascii="Century Gothic" w:hAnsi="Century Gothic"/>
          <w:b/>
          <w:sz w:val="20"/>
          <w:u w:val="single"/>
        </w:rPr>
        <w:t>semiresidenziali</w:t>
      </w:r>
      <w:r>
        <w:rPr>
          <w:rFonts w:ascii="Century Gothic" w:hAnsi="Century Gothic"/>
          <w:b/>
          <w:sz w:val="20"/>
        </w:rPr>
        <w:t xml:space="preserve"> sanitarie, sociosanitarie o sociali</w:t>
      </w:r>
      <w:r w:rsidR="004E234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con frequenza strutturata e continuativa </w:t>
      </w:r>
      <w:r w:rsidR="004E2349" w:rsidRPr="0076257D">
        <w:rPr>
          <w:rFonts w:ascii="Century Gothic" w:hAnsi="Century Gothic"/>
          <w:b/>
          <w:bCs/>
          <w:sz w:val="20"/>
        </w:rPr>
        <w:t>≥ 18 ore</w:t>
      </w:r>
      <w:r w:rsidR="004E234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(es. regime semiresidenziale di Neuropsichiatria Infanzia e Adolescenza, riabilitazione in diurno continuo, CDD, CDI, CSE</w:t>
      </w:r>
      <w:r w:rsidR="00D77818">
        <w:rPr>
          <w:rFonts w:ascii="Century Gothic" w:hAnsi="Century Gothic"/>
          <w:sz w:val="20"/>
        </w:rPr>
        <w:t>, presa in carico con Sperimentazioni riabilitazione minori disabili in regime diurno ex DGR 3239/2012</w:t>
      </w:r>
      <w:r>
        <w:rPr>
          <w:rFonts w:ascii="Century Gothic" w:hAnsi="Century Gothic"/>
          <w:sz w:val="20"/>
        </w:rPr>
        <w:t>);</w:t>
      </w:r>
    </w:p>
    <w:p w14:paraId="63E11652" w14:textId="067F7A78" w:rsidR="00D77818" w:rsidRDefault="00D77818" w:rsidP="004E2349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contributo da risorse progetti di vita indipendente – </w:t>
      </w:r>
      <w:proofErr w:type="spellStart"/>
      <w:r w:rsidRPr="009034AE">
        <w:rPr>
          <w:rFonts w:ascii="Century Gothic" w:hAnsi="Century Gothic"/>
          <w:b/>
          <w:bCs/>
          <w:sz w:val="20"/>
        </w:rPr>
        <w:t>Pro.Vi</w:t>
      </w:r>
      <w:proofErr w:type="spellEnd"/>
      <w:r>
        <w:rPr>
          <w:rFonts w:ascii="Century Gothic" w:hAnsi="Century Gothic"/>
          <w:sz w:val="20"/>
        </w:rPr>
        <w:t xml:space="preserve"> – per onere assistente personale regolarmente impiegato;</w:t>
      </w:r>
    </w:p>
    <w:p w14:paraId="40600E94" w14:textId="2EAC97EB" w:rsidR="00562FF7" w:rsidRDefault="00D77818" w:rsidP="009E3360">
      <w:pPr>
        <w:pStyle w:val="Paragrafoelenco"/>
        <w:numPr>
          <w:ilvl w:val="0"/>
          <w:numId w:val="14"/>
        </w:numPr>
        <w:spacing w:before="120" w:after="0" w:line="240" w:lineRule="auto"/>
        <w:ind w:left="426" w:hanging="284"/>
        <w:contextualSpacing w:val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permanenza </w:t>
      </w:r>
      <w:r w:rsidRPr="0076257D">
        <w:rPr>
          <w:rFonts w:ascii="Century Gothic" w:hAnsi="Century Gothic"/>
          <w:b/>
          <w:sz w:val="20"/>
        </w:rPr>
        <w:t>fuori</w:t>
      </w:r>
      <w:r>
        <w:rPr>
          <w:rFonts w:ascii="Century Gothic" w:hAnsi="Century Gothic"/>
          <w:b/>
          <w:sz w:val="20"/>
        </w:rPr>
        <w:t xml:space="preserve"> regione </w:t>
      </w:r>
      <w:r>
        <w:rPr>
          <w:rFonts w:ascii="Century Gothic" w:hAnsi="Century Gothic"/>
          <w:sz w:val="20"/>
        </w:rPr>
        <w:t xml:space="preserve">della persona </w:t>
      </w:r>
      <w:r w:rsidRPr="00D77818">
        <w:rPr>
          <w:rFonts w:ascii="Century Gothic" w:hAnsi="Century Gothic"/>
          <w:sz w:val="20"/>
          <w:u w:val="single"/>
        </w:rPr>
        <w:t xml:space="preserve">con disabilità </w:t>
      </w:r>
      <w:r w:rsidRPr="002A5C24">
        <w:rPr>
          <w:rFonts w:ascii="Century Gothic" w:hAnsi="Century Gothic"/>
          <w:b/>
          <w:sz w:val="20"/>
          <w:u w:val="single"/>
        </w:rPr>
        <w:t>oltre i 90</w:t>
      </w:r>
      <w:r w:rsidRPr="00D77818">
        <w:rPr>
          <w:rFonts w:ascii="Century Gothic" w:hAnsi="Century Gothic"/>
          <w:sz w:val="20"/>
          <w:u w:val="single"/>
        </w:rPr>
        <w:t xml:space="preserve"> giorni annuali</w:t>
      </w:r>
    </w:p>
    <w:p w14:paraId="128D845C" w14:textId="2AF756A7" w:rsidR="00EE3E71" w:rsidRPr="00E72166" w:rsidRDefault="00EE3E71" w:rsidP="00EE3E7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695EDA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</w:t>
      </w:r>
      <w:r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sym w:font="Symbol" w:char="F02A"/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  <w:r w:rsidRPr="00763700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</w:t>
      </w:r>
      <w:r w:rsidRPr="00763700">
        <w:rPr>
          <w:rFonts w:ascii="Century Gothic" w:eastAsia="Times New Roman" w:hAnsi="Century Gothic" w:cs="Tahoma"/>
          <w:b/>
          <w:color w:val="19191A"/>
          <w:sz w:val="20"/>
          <w:szCs w:val="20"/>
          <w:lang w:eastAsia="it-IT"/>
        </w:rPr>
        <w:t xml:space="preserve"> </w:t>
      </w:r>
    </w:p>
    <w:p w14:paraId="0CBCD4C0" w14:textId="77777777" w:rsidR="00587E38" w:rsidRDefault="005B3E48" w:rsidP="00EE3E71">
      <w:pPr>
        <w:spacing w:before="120"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allegato</w:t>
      </w:r>
      <w:r w:rsidR="00587E38">
        <w:rPr>
          <w:rFonts w:ascii="Century Gothic" w:hAnsi="Century Gothic"/>
          <w:sz w:val="20"/>
        </w:rPr>
        <w:t>:</w:t>
      </w:r>
    </w:p>
    <w:p w14:paraId="142ED9C7" w14:textId="14553B1F" w:rsidR="00EE3E71" w:rsidRPr="00E72166" w:rsidRDefault="00587E38" w:rsidP="004B624F">
      <w:pPr>
        <w:spacing w:before="120" w:after="0" w:line="240" w:lineRule="auto"/>
        <w:jc w:val="both"/>
        <w:rPr>
          <w:rFonts w:ascii="Century Gothic" w:eastAsia="Times New Roman" w:hAnsi="Century Gothic" w:cs="Tahoma"/>
          <w:color w:val="19191A"/>
          <w:sz w:val="20"/>
          <w:szCs w:val="20"/>
          <w:lang w:eastAsia="it-IT"/>
        </w:rPr>
      </w:pPr>
      <w:r>
        <w:rPr>
          <w:rFonts w:ascii="Century Gothic" w:hAnsi="Century Gothic"/>
          <w:sz w:val="20"/>
        </w:rPr>
        <w:t xml:space="preserve">- la documentazione per le NUOVE DOMANDE </w:t>
      </w:r>
      <w:r w:rsidR="00EE3E71">
        <w:rPr>
          <w:rFonts w:ascii="Century Gothic" w:eastAsia="Times New Roman" w:hAnsi="Century Gothic" w:cs="Tahoma"/>
          <w:b/>
          <w:bCs/>
          <w:color w:val="19191A"/>
          <w:sz w:val="20"/>
          <w:szCs w:val="20"/>
          <w:lang w:eastAsia="it-IT"/>
        </w:rPr>
        <w:t xml:space="preserve">                 </w:t>
      </w:r>
    </w:p>
    <w:p w14:paraId="5E203219" w14:textId="77777777" w:rsidR="00EE3E71" w:rsidRPr="00EE3E71" w:rsidRDefault="00EE3E71" w:rsidP="00EE3E71">
      <w:pPr>
        <w:spacing w:before="120" w:after="0" w:line="240" w:lineRule="auto"/>
        <w:jc w:val="both"/>
        <w:rPr>
          <w:rFonts w:ascii="Century Gothic" w:hAnsi="Century Gothic"/>
          <w:sz w:val="20"/>
        </w:rPr>
      </w:pPr>
    </w:p>
    <w:sectPr w:rsidR="00EE3E71" w:rsidRPr="00EE3E71" w:rsidSect="00A07961">
      <w:footerReference w:type="default" r:id="rId10"/>
      <w:type w:val="continuous"/>
      <w:pgSz w:w="11906" w:h="16838"/>
      <w:pgMar w:top="1417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584F" w14:textId="77777777" w:rsidR="00F9492C" w:rsidRDefault="00F9492C" w:rsidP="00F9492C">
      <w:pPr>
        <w:spacing w:after="0" w:line="240" w:lineRule="auto"/>
      </w:pPr>
      <w:r>
        <w:separator/>
      </w:r>
    </w:p>
  </w:endnote>
  <w:endnote w:type="continuationSeparator" w:id="0">
    <w:p w14:paraId="196A1326" w14:textId="77777777" w:rsidR="00F9492C" w:rsidRDefault="00F9492C" w:rsidP="00F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03193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305078" w14:textId="4AF5A208" w:rsidR="00F9492C" w:rsidRPr="00F9492C" w:rsidRDefault="00F9492C" w:rsidP="00F9492C">
            <w:pPr>
              <w:pStyle w:val="Pidipagina"/>
              <w:jc w:val="right"/>
              <w:rPr>
                <w:sz w:val="16"/>
                <w:szCs w:val="16"/>
              </w:rPr>
            </w:pPr>
            <w:r w:rsidRPr="00F9492C">
              <w:rPr>
                <w:sz w:val="16"/>
                <w:szCs w:val="16"/>
              </w:rPr>
              <w:t xml:space="preserve">Pag. </w:t>
            </w:r>
            <w:r w:rsidRPr="00F9492C">
              <w:rPr>
                <w:b/>
                <w:bCs/>
                <w:sz w:val="16"/>
                <w:szCs w:val="16"/>
              </w:rPr>
              <w:fldChar w:fldCharType="begin"/>
            </w:r>
            <w:r w:rsidRPr="00F9492C">
              <w:rPr>
                <w:b/>
                <w:bCs/>
                <w:sz w:val="16"/>
                <w:szCs w:val="16"/>
              </w:rPr>
              <w:instrText>PAGE</w:instrText>
            </w:r>
            <w:r w:rsidRPr="00F9492C">
              <w:rPr>
                <w:b/>
                <w:bCs/>
                <w:sz w:val="16"/>
                <w:szCs w:val="16"/>
              </w:rPr>
              <w:fldChar w:fldCharType="separate"/>
            </w:r>
            <w:r w:rsidRPr="00F9492C">
              <w:rPr>
                <w:b/>
                <w:bCs/>
                <w:sz w:val="16"/>
                <w:szCs w:val="16"/>
              </w:rPr>
              <w:t>2</w:t>
            </w:r>
            <w:r w:rsidRPr="00F9492C">
              <w:rPr>
                <w:b/>
                <w:bCs/>
                <w:sz w:val="16"/>
                <w:szCs w:val="16"/>
              </w:rPr>
              <w:fldChar w:fldCharType="end"/>
            </w:r>
            <w:r w:rsidRPr="00F9492C">
              <w:rPr>
                <w:sz w:val="16"/>
                <w:szCs w:val="16"/>
              </w:rPr>
              <w:t xml:space="preserve"> a </w:t>
            </w:r>
            <w:r w:rsidRPr="00F9492C">
              <w:rPr>
                <w:b/>
                <w:bCs/>
                <w:sz w:val="16"/>
                <w:szCs w:val="16"/>
              </w:rPr>
              <w:fldChar w:fldCharType="begin"/>
            </w:r>
            <w:r w:rsidRPr="00F9492C">
              <w:rPr>
                <w:b/>
                <w:bCs/>
                <w:sz w:val="16"/>
                <w:szCs w:val="16"/>
              </w:rPr>
              <w:instrText>NUMPAGES</w:instrText>
            </w:r>
            <w:r w:rsidRPr="00F9492C">
              <w:rPr>
                <w:b/>
                <w:bCs/>
                <w:sz w:val="16"/>
                <w:szCs w:val="16"/>
              </w:rPr>
              <w:fldChar w:fldCharType="separate"/>
            </w:r>
            <w:r w:rsidRPr="00F9492C">
              <w:rPr>
                <w:b/>
                <w:bCs/>
                <w:sz w:val="16"/>
                <w:szCs w:val="16"/>
              </w:rPr>
              <w:t>2</w:t>
            </w:r>
            <w:r w:rsidRPr="00F9492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7ED069" w14:textId="77777777" w:rsidR="00F9492C" w:rsidRDefault="00F949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8B6E" w14:textId="77777777" w:rsidR="00F9492C" w:rsidRDefault="00F9492C" w:rsidP="00F9492C">
      <w:pPr>
        <w:spacing w:after="0" w:line="240" w:lineRule="auto"/>
      </w:pPr>
      <w:r>
        <w:separator/>
      </w:r>
    </w:p>
  </w:footnote>
  <w:footnote w:type="continuationSeparator" w:id="0">
    <w:p w14:paraId="0D36DA4D" w14:textId="77777777" w:rsidR="00F9492C" w:rsidRDefault="00F9492C" w:rsidP="00F9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BB4"/>
    <w:multiLevelType w:val="hybridMultilevel"/>
    <w:tmpl w:val="1668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97E"/>
    <w:multiLevelType w:val="hybridMultilevel"/>
    <w:tmpl w:val="BD1C8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832"/>
    <w:multiLevelType w:val="hybridMultilevel"/>
    <w:tmpl w:val="BF469B38"/>
    <w:lvl w:ilvl="0" w:tplc="04100005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17252E37"/>
    <w:multiLevelType w:val="hybridMultilevel"/>
    <w:tmpl w:val="CF8A6810"/>
    <w:lvl w:ilvl="0" w:tplc="0410000D">
      <w:start w:val="1"/>
      <w:numFmt w:val="bullet"/>
      <w:lvlText w:val=""/>
      <w:lvlJc w:val="left"/>
      <w:pPr>
        <w:ind w:left="14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19C96F18"/>
    <w:multiLevelType w:val="hybridMultilevel"/>
    <w:tmpl w:val="81F2C3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A1B75"/>
    <w:multiLevelType w:val="multilevel"/>
    <w:tmpl w:val="0F8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A01"/>
    <w:multiLevelType w:val="hybridMultilevel"/>
    <w:tmpl w:val="6EECEC1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540C"/>
    <w:multiLevelType w:val="hybridMultilevel"/>
    <w:tmpl w:val="747632F6"/>
    <w:lvl w:ilvl="0" w:tplc="6EFA01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4AEA"/>
    <w:multiLevelType w:val="hybridMultilevel"/>
    <w:tmpl w:val="322E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57C4"/>
    <w:multiLevelType w:val="hybridMultilevel"/>
    <w:tmpl w:val="6B203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0747"/>
    <w:multiLevelType w:val="hybridMultilevel"/>
    <w:tmpl w:val="D850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4BD3"/>
    <w:multiLevelType w:val="hybridMultilevel"/>
    <w:tmpl w:val="59324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4628C"/>
    <w:multiLevelType w:val="hybridMultilevel"/>
    <w:tmpl w:val="A3D4872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39D3"/>
    <w:multiLevelType w:val="hybridMultilevel"/>
    <w:tmpl w:val="9490BB10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4BD6"/>
    <w:multiLevelType w:val="multilevel"/>
    <w:tmpl w:val="174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A79219F"/>
    <w:multiLevelType w:val="hybridMultilevel"/>
    <w:tmpl w:val="0ED8BF9C"/>
    <w:lvl w:ilvl="0" w:tplc="7108D208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7480F78">
      <w:numFmt w:val="bullet"/>
      <w:lvlText w:val="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D14CED16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3" w:tplc="1608B5FE">
      <w:numFmt w:val="bullet"/>
      <w:lvlText w:val="•"/>
      <w:lvlJc w:val="left"/>
      <w:pPr>
        <w:ind w:left="2452" w:hanging="360"/>
      </w:pPr>
      <w:rPr>
        <w:lang w:val="it-IT" w:eastAsia="en-US" w:bidi="ar-SA"/>
      </w:rPr>
    </w:lvl>
    <w:lvl w:ilvl="4" w:tplc="6CF2F0B8">
      <w:numFmt w:val="bullet"/>
      <w:lvlText w:val="•"/>
      <w:lvlJc w:val="left"/>
      <w:pPr>
        <w:ind w:left="3159" w:hanging="360"/>
      </w:pPr>
      <w:rPr>
        <w:lang w:val="it-IT" w:eastAsia="en-US" w:bidi="ar-SA"/>
      </w:rPr>
    </w:lvl>
    <w:lvl w:ilvl="5" w:tplc="6C2E9B38">
      <w:numFmt w:val="bullet"/>
      <w:lvlText w:val="•"/>
      <w:lvlJc w:val="left"/>
      <w:pPr>
        <w:ind w:left="3865" w:hanging="360"/>
      </w:pPr>
      <w:rPr>
        <w:lang w:val="it-IT" w:eastAsia="en-US" w:bidi="ar-SA"/>
      </w:rPr>
    </w:lvl>
    <w:lvl w:ilvl="6" w:tplc="4AC4CC58">
      <w:numFmt w:val="bullet"/>
      <w:lvlText w:val="•"/>
      <w:lvlJc w:val="left"/>
      <w:pPr>
        <w:ind w:left="4571" w:hanging="360"/>
      </w:pPr>
      <w:rPr>
        <w:lang w:val="it-IT" w:eastAsia="en-US" w:bidi="ar-SA"/>
      </w:rPr>
    </w:lvl>
    <w:lvl w:ilvl="7" w:tplc="D68A1596">
      <w:numFmt w:val="bullet"/>
      <w:lvlText w:val="•"/>
      <w:lvlJc w:val="left"/>
      <w:pPr>
        <w:ind w:left="5278" w:hanging="360"/>
      </w:pPr>
      <w:rPr>
        <w:lang w:val="it-IT" w:eastAsia="en-US" w:bidi="ar-SA"/>
      </w:rPr>
    </w:lvl>
    <w:lvl w:ilvl="8" w:tplc="72B4C37C">
      <w:numFmt w:val="bullet"/>
      <w:lvlText w:val="•"/>
      <w:lvlJc w:val="left"/>
      <w:pPr>
        <w:ind w:left="5984" w:hanging="360"/>
      </w:pPr>
      <w:rPr>
        <w:lang w:val="it-IT" w:eastAsia="en-US" w:bidi="ar-SA"/>
      </w:rPr>
    </w:lvl>
  </w:abstractNum>
  <w:abstractNum w:abstractNumId="20" w15:restartNumberingAfterBreak="0">
    <w:nsid w:val="625E7F74"/>
    <w:multiLevelType w:val="hybridMultilevel"/>
    <w:tmpl w:val="B8B8E554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62FE70D0"/>
    <w:multiLevelType w:val="hybridMultilevel"/>
    <w:tmpl w:val="647E8C6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C935B3"/>
    <w:multiLevelType w:val="multilevel"/>
    <w:tmpl w:val="A23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E02C9"/>
    <w:multiLevelType w:val="hybridMultilevel"/>
    <w:tmpl w:val="2AD69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19"/>
  </w:num>
  <w:num w:numId="16">
    <w:abstractNumId w:val="20"/>
  </w:num>
  <w:num w:numId="17">
    <w:abstractNumId w:val="4"/>
  </w:num>
  <w:num w:numId="18">
    <w:abstractNumId w:val="14"/>
  </w:num>
  <w:num w:numId="19">
    <w:abstractNumId w:val="23"/>
  </w:num>
  <w:num w:numId="20">
    <w:abstractNumId w:val="5"/>
  </w:num>
  <w:num w:numId="21">
    <w:abstractNumId w:val="10"/>
  </w:num>
  <w:num w:numId="22">
    <w:abstractNumId w:val="11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7F"/>
    <w:rsid w:val="00007ECD"/>
    <w:rsid w:val="000736CF"/>
    <w:rsid w:val="00086335"/>
    <w:rsid w:val="000B5E31"/>
    <w:rsid w:val="000F0894"/>
    <w:rsid w:val="000F78B6"/>
    <w:rsid w:val="001171FF"/>
    <w:rsid w:val="00140113"/>
    <w:rsid w:val="001542BE"/>
    <w:rsid w:val="001930FF"/>
    <w:rsid w:val="001A6766"/>
    <w:rsid w:val="00202027"/>
    <w:rsid w:val="00226D32"/>
    <w:rsid w:val="00242955"/>
    <w:rsid w:val="00251400"/>
    <w:rsid w:val="00285FEC"/>
    <w:rsid w:val="002A5C24"/>
    <w:rsid w:val="002A6A2D"/>
    <w:rsid w:val="002E0623"/>
    <w:rsid w:val="002E0902"/>
    <w:rsid w:val="002E51AB"/>
    <w:rsid w:val="002F071F"/>
    <w:rsid w:val="00346148"/>
    <w:rsid w:val="003778BE"/>
    <w:rsid w:val="0039314E"/>
    <w:rsid w:val="00393B2D"/>
    <w:rsid w:val="003B3D6F"/>
    <w:rsid w:val="003E3E67"/>
    <w:rsid w:val="003F5597"/>
    <w:rsid w:val="004221F5"/>
    <w:rsid w:val="00440027"/>
    <w:rsid w:val="004513D6"/>
    <w:rsid w:val="0047506B"/>
    <w:rsid w:val="004869DC"/>
    <w:rsid w:val="004B624F"/>
    <w:rsid w:val="004E1F2F"/>
    <w:rsid w:val="004E2349"/>
    <w:rsid w:val="004F77F4"/>
    <w:rsid w:val="00546310"/>
    <w:rsid w:val="00550D1F"/>
    <w:rsid w:val="00562FF7"/>
    <w:rsid w:val="00582DF2"/>
    <w:rsid w:val="00587E38"/>
    <w:rsid w:val="005A5FC2"/>
    <w:rsid w:val="005B3E48"/>
    <w:rsid w:val="005D5280"/>
    <w:rsid w:val="005D730B"/>
    <w:rsid w:val="0064253A"/>
    <w:rsid w:val="00695EDA"/>
    <w:rsid w:val="006B4C28"/>
    <w:rsid w:val="006C4C22"/>
    <w:rsid w:val="006F42BA"/>
    <w:rsid w:val="00716491"/>
    <w:rsid w:val="0076257D"/>
    <w:rsid w:val="00763700"/>
    <w:rsid w:val="00771764"/>
    <w:rsid w:val="00780878"/>
    <w:rsid w:val="00784429"/>
    <w:rsid w:val="007D261D"/>
    <w:rsid w:val="007F5828"/>
    <w:rsid w:val="008058B0"/>
    <w:rsid w:val="00820601"/>
    <w:rsid w:val="008817B1"/>
    <w:rsid w:val="00890AE5"/>
    <w:rsid w:val="008B0BD8"/>
    <w:rsid w:val="008E2D89"/>
    <w:rsid w:val="008F16F2"/>
    <w:rsid w:val="00902D7C"/>
    <w:rsid w:val="009034AE"/>
    <w:rsid w:val="00932668"/>
    <w:rsid w:val="009342DE"/>
    <w:rsid w:val="009E3360"/>
    <w:rsid w:val="009F7413"/>
    <w:rsid w:val="00A0586B"/>
    <w:rsid w:val="00A07131"/>
    <w:rsid w:val="00A07961"/>
    <w:rsid w:val="00A31493"/>
    <w:rsid w:val="00A64B17"/>
    <w:rsid w:val="00A765F9"/>
    <w:rsid w:val="00AA6DCC"/>
    <w:rsid w:val="00AE77CF"/>
    <w:rsid w:val="00B27238"/>
    <w:rsid w:val="00B434AB"/>
    <w:rsid w:val="00B921C1"/>
    <w:rsid w:val="00B93536"/>
    <w:rsid w:val="00BE6645"/>
    <w:rsid w:val="00BF7AAD"/>
    <w:rsid w:val="00C209D3"/>
    <w:rsid w:val="00C46BF0"/>
    <w:rsid w:val="00C611CE"/>
    <w:rsid w:val="00C752A9"/>
    <w:rsid w:val="00C92299"/>
    <w:rsid w:val="00CF4600"/>
    <w:rsid w:val="00D258A6"/>
    <w:rsid w:val="00D43C79"/>
    <w:rsid w:val="00D60ADE"/>
    <w:rsid w:val="00D648A3"/>
    <w:rsid w:val="00D67F04"/>
    <w:rsid w:val="00D71037"/>
    <w:rsid w:val="00D74B18"/>
    <w:rsid w:val="00D77818"/>
    <w:rsid w:val="00D77FB5"/>
    <w:rsid w:val="00DC5BF6"/>
    <w:rsid w:val="00DF6A18"/>
    <w:rsid w:val="00E24F46"/>
    <w:rsid w:val="00E27C5C"/>
    <w:rsid w:val="00E335E7"/>
    <w:rsid w:val="00E36F91"/>
    <w:rsid w:val="00E72166"/>
    <w:rsid w:val="00EA7E12"/>
    <w:rsid w:val="00EB0885"/>
    <w:rsid w:val="00EB6E7F"/>
    <w:rsid w:val="00ED5B78"/>
    <w:rsid w:val="00EE3E71"/>
    <w:rsid w:val="00EE5719"/>
    <w:rsid w:val="00EF5F51"/>
    <w:rsid w:val="00F41ABA"/>
    <w:rsid w:val="00F510ED"/>
    <w:rsid w:val="00F53512"/>
    <w:rsid w:val="00F87286"/>
    <w:rsid w:val="00F9492C"/>
    <w:rsid w:val="00FC2711"/>
    <w:rsid w:val="00FC32D7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8C014"/>
  <w15:docId w15:val="{DF232FEC-0C8A-49B3-A742-E0911E0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A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31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92C"/>
  </w:style>
  <w:style w:type="paragraph" w:styleId="Pidipagina">
    <w:name w:val="footer"/>
    <w:basedOn w:val="Normale"/>
    <w:link w:val="PidipaginaCarattere"/>
    <w:uiPriority w:val="99"/>
    <w:unhideWhenUsed/>
    <w:rsid w:val="00F94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92C"/>
  </w:style>
  <w:style w:type="paragraph" w:customStyle="1" w:styleId="TableParagraph">
    <w:name w:val="Table Paragraph"/>
    <w:basedOn w:val="Normale"/>
    <w:uiPriority w:val="1"/>
    <w:qFormat/>
    <w:rsid w:val="0024295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404040"/>
        <w:right w:val="none" w:sz="0" w:space="0" w:color="auto"/>
      </w:divBdr>
      <w:divsChild>
        <w:div w:id="150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15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269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tazione@asst-lo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utazione@asst-lod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C2A1-E4D0-4C94-B951-D507AC42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Bianchi</dc:creator>
  <cp:keywords/>
  <dc:description/>
  <cp:lastModifiedBy>Simona Ratti</cp:lastModifiedBy>
  <cp:revision>85</cp:revision>
  <cp:lastPrinted>2023-02-02T10:26:00Z</cp:lastPrinted>
  <dcterms:created xsi:type="dcterms:W3CDTF">2022-01-14T09:39:00Z</dcterms:created>
  <dcterms:modified xsi:type="dcterms:W3CDTF">2024-04-05T07:37:00Z</dcterms:modified>
</cp:coreProperties>
</file>